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3D472B" w:sz="12"/>
              <w:left w:val="single" w:color="3D472B" w:sz="12"/>
              <w:bottom w:val="single" w:color="3D472B" w:sz="12"/>
              <w:right w:val="single" w:color="3D472B" w:sz="12"/>
            </w:tcBorders>
            <w:shd w:fill="3D472B" w:val="clear"/>
            <w:tcMar>
              <w:top w:type="dxa" w:w="170"/>
              <w:left w:type="dxa" w:w="360"/>
              <w:bottom w:type="dxa" w:w="190"/>
              <w:right w:type="dxa" w:w="360"/>
            </w:tcMar>
          </w:tcPr>
          <w:p>
            <w:pPr>
              <w:spacing w:after="70"/>
              <w:jc w:val="center"/>
            </w:pPr>
            <w:r>
              <w:drawing>
                <wp:inline distT="0" distB="0" distL="0" distR="0">
                  <wp:extent cx="219075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190750" cy="561975"/>
                          </a:xfrm>
                          <a:prstGeom prst="rect">
                            <a:avLst/>
                          </a:prstGeom>
                        </pic:spPr>
                      </pic:pic>
                    </a:graphicData>
                  </a:graphic>
                </wp:inline>
              </w:drawing>
            </w:r>
          </w:p>
          <w:p>
            <w:pPr>
              <w:spacing w:after="30"/>
              <w:jc w:val="center"/>
            </w:pPr>
            <w:r>
              <w:rPr>
                <w:rFonts w:ascii="Georgia" w:cs="Georgia" w:eastAsia="Georgia" w:hAnsi="Georgia"/>
                <w:b/>
                <w:bCs/>
                <w:color w:val="F5EAD8"/>
                <w:sz w:val="30"/>
                <w:szCs w:val="30"/>
              </w:rPr>
              <w:t xml:space="preserve">International Opportunity Report</w:t>
            </w:r>
          </w:p>
          <w:p>
            <w:pPr>
              <w:jc w:val="center"/>
            </w:pPr>
            <w:r>
              <w:rPr>
                <w:rFonts w:ascii="Calibri" w:cs="Calibri" w:eastAsia="Calibri" w:hAnsi="Calibri"/>
                <w:i/>
                <w:iCs/>
                <w:color w:val="E1EECC"/>
                <w:sz w:val="18"/>
                <w:szCs w:val="18"/>
              </w:rPr>
              <w:t xml:space="preserve">Up to five countries</w:t>
            </w:r>
          </w:p>
        </w:tc>
      </w:tr>
    </w:tbl>
    <w:p>
      <w:pPr>
        <w:spacing w:after="120"/>
      </w:pPr>
    </w:p>
    <w:p>
      <w:pPr>
        <w:spacing w:after="80" w:before="40" w:line="276"/>
      </w:pPr>
      <w:r>
        <w:rPr>
          <w:rFonts w:ascii="Calibri" w:cs="Calibri" w:eastAsia="Calibri" w:hAnsi="Calibri"/>
          <w:color w:val="201E1D"/>
          <w:sz w:val="20"/>
          <w:szCs w:val="20"/>
        </w:rPr>
        <w:t xml:space="preserve">You are a licensed secondary school teacher from Uganda, holding a Bachelor of Science with Education from Makerere University and 5 to 10 years of experience teaching mathematics and physics. With fluent English, moderate savings, and a goal of working abroad within the next year, this report covers your best-matched routes across Austria, Ireland, Bahrain, the United Arab Emirates (UAE), and Oman.
We searched using your work in **secondary education teachers**. If you'd describe it differently, or there's more to what you do, updating this can open up more options.</w:t>
      </w:r>
    </w:p>
    <w:p>
      <w:pPr>
        <w:spacing w:before="80"/>
      </w:pPr>
      <w:r>
        <w:rPr>
          <w:rFonts w:ascii="Calibri" w:cs="Calibri" w:eastAsia="Calibri" w:hAnsi="Calibri"/>
          <w:i/>
          <w:iCs/>
          <w:color w:val="645C50"/>
          <w:sz w:val="18"/>
          <w:szCs w:val="18"/>
        </w:rPr>
        <w:t xml:space="preserve">Generated: 14 August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DCD3C4" w:sz="4"/>
              <w:left w:val="single" w:color="8C491A" w:sz="28"/>
              <w:bottom w:val="single" w:color="DCD3C4" w:sz="4"/>
              <w:right w:val="single" w:color="DCD3C4" w:sz="4"/>
            </w:tcBorders>
            <w:shd w:fill="F5EAD8" w:val="clear"/>
            <w:tcMar>
              <w:top w:type="dxa" w:w="160"/>
              <w:left w:type="dxa" w:w="220"/>
              <w:bottom w:type="dxa" w:w="160"/>
              <w:right w:type="dxa" w:w="180"/>
            </w:tcMar>
          </w:tcPr>
          <w:p>
            <w:pPr>
              <w:spacing w:after="80"/>
            </w:pPr>
            <w:r>
              <w:rPr>
                <w:rFonts w:ascii="Georgia" w:cs="Georgia" w:eastAsia="Georgia" w:hAnsi="Georgia"/>
                <w:b/>
                <w:bCs/>
                <w:color w:val="201E1D"/>
                <w:sz w:val="22"/>
                <w:szCs w:val="22"/>
              </w:rPr>
              <w:t xml:space="preserve">At a Glance</w:t>
            </w:r>
          </w:p>
          <w:p>
            <w:pPr>
              <w:spacing w:after="30" w:before="30"/>
            </w:pPr>
            <w:r>
              <w:rPr>
                <w:rFonts w:ascii="Calibri" w:cs="Calibri" w:eastAsia="Calibri" w:hAnsi="Calibri"/>
                <w:b/>
                <w:bCs/>
                <w:color w:val="8C491A"/>
                <w:sz w:val="19"/>
                <w:szCs w:val="19"/>
              </w:rPr>
              <w:t xml:space="preserve">Top match:  </w:t>
            </w:r>
            <w:r>
              <w:rPr>
                <w:rFonts w:ascii="Calibri" w:cs="Calibri" w:eastAsia="Calibri" w:hAnsi="Calibri"/>
                <w:color w:val="201E1D"/>
                <w:sz w:val="19"/>
                <w:szCs w:val="19"/>
              </w:rPr>
              <w:t xml:space="preserve">Route 1 - Austria: Austria job seeker visa for highly qualified workers</w:t>
            </w:r>
          </w:p>
          <w:p>
            <w:pPr>
              <w:spacing w:after="30" w:before="30"/>
            </w:pPr>
            <w:r>
              <w:rPr>
                <w:rFonts w:ascii="Calibri" w:cs="Calibri" w:eastAsia="Calibri" w:hAnsi="Calibri"/>
                <w:b/>
                <w:bCs/>
                <w:color w:val="8C491A"/>
                <w:sz w:val="19"/>
                <w:szCs w:val="19"/>
              </w:rPr>
              <w:t xml:space="preserve">Countries covered:  </w:t>
            </w:r>
            <w:r>
              <w:rPr>
                <w:rFonts w:ascii="Calibri" w:cs="Calibri" w:eastAsia="Calibri" w:hAnsi="Calibri"/>
                <w:color w:val="201E1D"/>
                <w:sz w:val="19"/>
                <w:szCs w:val="19"/>
              </w:rPr>
              <w:t xml:space="preserve">Austria, Ireland, Bahrain, UAE, Oman</w:t>
            </w:r>
          </w:p>
          <w:p>
            <w:pPr>
              <w:spacing w:after="30" w:before="30"/>
            </w:pPr>
            <w:r>
              <w:rPr>
                <w:rFonts w:ascii="Calibri" w:cs="Calibri" w:eastAsia="Calibri" w:hAnsi="Calibri"/>
                <w:b/>
                <w:bCs/>
                <w:color w:val="8C491A"/>
                <w:sz w:val="19"/>
                <w:szCs w:val="19"/>
              </w:rPr>
              <w:t xml:space="preserve">Information current as of:  </w:t>
            </w:r>
            <w:r>
              <w:rPr>
                <w:rFonts w:ascii="Calibri" w:cs="Calibri" w:eastAsia="Calibri" w:hAnsi="Calibri"/>
                <w:color w:val="201E1D"/>
                <w:sz w:val="19"/>
                <w:szCs w:val="19"/>
              </w:rPr>
              <w:t xml:space="preserve">2026-08-08</w:t>
            </w:r>
          </w:p>
        </w:tc>
      </w:tr>
    </w:tbl>
    <w:p>
      <w:pPr>
        <w:pBdr>
          <w:bottom w:val="single" w:color="DCD3C4" w:sz="4" w:space="1"/>
        </w:pBd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DCD3C4" w:sz="4"/>
              <w:left w:val="single" w:color="8C491A" w:sz="28"/>
              <w:bottom w:val="single" w:color="DCD3C4" w:sz="4"/>
              <w:right w:val="single" w:color="DCD3C4" w:sz="4"/>
            </w:tcBorders>
            <w:shd w:fill="F5EAD8" w:val="clear"/>
            <w:tcMar>
              <w:top w:type="dxa" w:w="160"/>
              <w:left w:type="dxa" w:w="220"/>
              <w:bottom w:type="dxa" w:w="160"/>
              <w:right w:type="dxa" w:w="180"/>
            </w:tcMar>
          </w:tcPr>
          <w:p>
            <w:pPr>
              <w:spacing w:after="80"/>
            </w:pPr>
            <w:r>
              <w:rPr>
                <w:rFonts w:ascii="Georgia" w:cs="Georgia" w:eastAsia="Georgia" w:hAnsi="Georgia"/>
                <w:b/>
                <w:bCs/>
                <w:color w:val="201E1D"/>
                <w:sz w:val="22"/>
                <w:szCs w:val="22"/>
              </w:rPr>
              <w:t xml:space="preserve">Profile Snapshot</w:t>
            </w:r>
          </w:p>
          <w:p>
            <w:pPr>
              <w:spacing w:after="30" w:before="30"/>
            </w:pPr>
            <w:r>
              <w:rPr>
                <w:rFonts w:ascii="Calibri" w:cs="Calibri" w:eastAsia="Calibri" w:hAnsi="Calibri"/>
                <w:b/>
                <w:bCs/>
                <w:color w:val="8C491A"/>
                <w:sz w:val="19"/>
                <w:szCs w:val="19"/>
              </w:rPr>
              <w:t xml:space="preserve">Age:  </w:t>
            </w:r>
            <w:r>
              <w:rPr>
                <w:rFonts w:ascii="Calibri" w:cs="Calibri" w:eastAsia="Calibri" w:hAnsi="Calibri"/>
                <w:color w:val="201E1D"/>
                <w:sz w:val="19"/>
                <w:szCs w:val="19"/>
              </w:rPr>
              <w:t xml:space="preserve">32</w:t>
            </w:r>
          </w:p>
          <w:p>
            <w:pPr>
              <w:spacing w:after="30" w:before="30"/>
            </w:pPr>
            <w:r>
              <w:rPr>
                <w:rFonts w:ascii="Calibri" w:cs="Calibri" w:eastAsia="Calibri" w:hAnsi="Calibri"/>
                <w:b/>
                <w:bCs/>
                <w:color w:val="8C491A"/>
                <w:sz w:val="19"/>
                <w:szCs w:val="19"/>
              </w:rPr>
              <w:t xml:space="preserve">Passport:  </w:t>
            </w:r>
            <w:r>
              <w:rPr>
                <w:rFonts w:ascii="Calibri" w:cs="Calibri" w:eastAsia="Calibri" w:hAnsi="Calibri"/>
                <w:color w:val="201E1D"/>
                <w:sz w:val="19"/>
                <w:szCs w:val="19"/>
              </w:rPr>
              <w:t xml:space="preserve">Uganda</w:t>
            </w:r>
          </w:p>
          <w:p>
            <w:pPr>
              <w:spacing w:after="30" w:before="30"/>
            </w:pPr>
            <w:r>
              <w:rPr>
                <w:rFonts w:ascii="Calibri" w:cs="Calibri" w:eastAsia="Calibri" w:hAnsi="Calibri"/>
                <w:b/>
                <w:bCs/>
                <w:color w:val="8C491A"/>
                <w:sz w:val="19"/>
                <w:szCs w:val="19"/>
              </w:rPr>
              <w:t xml:space="preserve">Residence:  </w:t>
            </w:r>
            <w:r>
              <w:rPr>
                <w:rFonts w:ascii="Calibri" w:cs="Calibri" w:eastAsia="Calibri" w:hAnsi="Calibri"/>
                <w:color w:val="201E1D"/>
                <w:sz w:val="19"/>
                <w:szCs w:val="19"/>
              </w:rPr>
              <w:t xml:space="preserve">Uganda</w:t>
            </w:r>
          </w:p>
          <w:p>
            <w:pPr>
              <w:spacing w:after="30" w:before="30"/>
            </w:pPr>
            <w:r>
              <w:rPr>
                <w:rFonts w:ascii="Calibri" w:cs="Calibri" w:eastAsia="Calibri" w:hAnsi="Calibri"/>
                <w:b/>
                <w:bCs/>
                <w:color w:val="8C491A"/>
                <w:sz w:val="19"/>
                <w:szCs w:val="19"/>
              </w:rPr>
              <w:t xml:space="preserve">Education:  </w:t>
            </w:r>
            <w:r>
              <w:rPr>
                <w:rFonts w:ascii="Calibri" w:cs="Calibri" w:eastAsia="Calibri" w:hAnsi="Calibri"/>
                <w:color w:val="201E1D"/>
                <w:sz w:val="19"/>
                <w:szCs w:val="19"/>
              </w:rPr>
              <w:t xml:space="preserve">bachelor (education)</w:t>
            </w:r>
          </w:p>
          <w:p>
            <w:pPr>
              <w:spacing w:after="30" w:before="30"/>
            </w:pPr>
            <w:r>
              <w:rPr>
                <w:rFonts w:ascii="Calibri" w:cs="Calibri" w:eastAsia="Calibri" w:hAnsi="Calibri"/>
                <w:b/>
                <w:bCs/>
                <w:color w:val="8C491A"/>
                <w:sz w:val="19"/>
                <w:szCs w:val="19"/>
              </w:rPr>
              <w:t xml:space="preserve">Experience:  </w:t>
            </w:r>
            <w:r>
              <w:rPr>
                <w:rFonts w:ascii="Calibri" w:cs="Calibri" w:eastAsia="Calibri" w:hAnsi="Calibri"/>
                <w:color w:val="201E1D"/>
                <w:sz w:val="19"/>
                <w:szCs w:val="19"/>
              </w:rPr>
              <w:t xml:space="preserve">5-10 - Secondary school teacher (mathematics and physics)</w:t>
            </w:r>
          </w:p>
          <w:p>
            <w:pPr>
              <w:spacing w:after="30" w:before="30"/>
            </w:pPr>
            <w:r>
              <w:rPr>
                <w:rFonts w:ascii="Calibri" w:cs="Calibri" w:eastAsia="Calibri" w:hAnsi="Calibri"/>
                <w:b/>
                <w:bCs/>
                <w:color w:val="8C491A"/>
                <w:sz w:val="19"/>
                <w:szCs w:val="19"/>
              </w:rPr>
              <w:t xml:space="preserve">English:  </w:t>
            </w:r>
            <w:r>
              <w:rPr>
                <w:rFonts w:ascii="Calibri" w:cs="Calibri" w:eastAsia="Calibri" w:hAnsi="Calibri"/>
                <w:color w:val="201E1D"/>
                <w:sz w:val="19"/>
                <w:szCs w:val="19"/>
              </w:rPr>
              <w:t xml:space="preserve">fluent</w:t>
            </w:r>
          </w:p>
          <w:p>
            <w:pPr>
              <w:spacing w:after="30" w:before="30"/>
            </w:pPr>
            <w:r>
              <w:rPr>
                <w:rFonts w:ascii="Calibri" w:cs="Calibri" w:eastAsia="Calibri" w:hAnsi="Calibri"/>
                <w:b/>
                <w:bCs/>
                <w:color w:val="8C491A"/>
                <w:sz w:val="19"/>
                <w:szCs w:val="19"/>
              </w:rPr>
              <w:t xml:space="preserve">Primary goal:  </w:t>
            </w:r>
            <w:r>
              <w:rPr>
                <w:rFonts w:ascii="Calibri" w:cs="Calibri" w:eastAsia="Calibri" w:hAnsi="Calibri"/>
                <w:color w:val="201E1D"/>
                <w:sz w:val="19"/>
                <w:szCs w:val="19"/>
              </w:rPr>
              <w:t xml:space="preserve">work now</w:t>
            </w:r>
          </w:p>
        </w:tc>
      </w:tr>
    </w:tbl>
    <w:p>
      <w:pPr>
        <w:pBdr>
          <w:bottom w:val="single" w:color="DCD3C4" w:sz="4" w:space="1"/>
        </w:pBdr>
        <w:spacing w:after="120" w:before="120"/>
      </w:pPr>
    </w:p>
    <w:p>
      <w:pPr>
        <w:spacing w:after="80" w:before="40" w:line="276"/>
      </w:pPr>
      <w:r>
        <w:rPr>
          <w:rFonts w:ascii="Calibri" w:cs="Calibri" w:eastAsia="Calibri" w:hAnsi="Calibri"/>
          <w:color w:val="201E1D"/>
          <w:sz w:val="20"/>
          <w:szCs w:val="20"/>
        </w:rPr>
        <w:t xml:space="preserve">We searched Austria, Ireland, Bahrain, UAE, Oman and identified your 8 best-matched routes. The strongest options, ordered from strongest to weakest, are the Austria job seeker visa for highly qualified workers, the Ireland Critical Skills Employment Permit, a Bahrain school teaching post sponsored by the employing school, a United Arab Emirates school teaching post sponsored by the school, an Oman school teaching post on a two-year work visa, an Oman two-year work visa for a professional post, the United Arab Emirates standard work visa, and the United Arab Emirates 10-year golden residence permit for senior professionals.</w:t>
      </w:r>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1: Austria — Austria job seeker visa for highly qualified workers</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Employer-sponsored · 3-6 months</w:t>
      </w:r>
    </w:p>
    <w:p>
      <w:pPr>
        <w:keepNext/>
        <w:spacing w:after="0" w:before="200"/>
      </w:pPr>
    </w:p>
    <w:p>
      <w:pPr>
        <w:pStyle w:val="Heading2"/>
      </w:pPr>
      <w:r>
        <w:rPr>
          <w:rFonts w:ascii="Calibri" w:cs="Calibri" w:eastAsia="Calibri" w:hAnsi="Calibri"/>
          <w:color w:val="201E1D"/>
          <w:sz w:val="22"/>
          <w:szCs w:val="22"/>
        </w:rPr>
        <w:t xml:space="preserve">Route 1: Austria - Austria job seeker visa for highly qualified workers</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This route uses a points-based assessment rather than a fixed occupation list, weighing qualifications, language ability, age, and work experience. Your Bachelor of Science with Education, 5 to 10 years of subject-specific teaching experience, and fluent English (above the intermediate minimum this route requires) can all contribute toward the points threshold. Your moderate savings tier also matches what this route expects an applicant to have available.</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Fluent English exceeds the intermediate minimum this route requires.</w:t>
      </w:r>
    </w:p>
    <w:p>
      <w:pPr>
        <w:pStyle w:val="ListParagraph"/>
        <w:numPr>
          <w:ilvl w:val="0"/>
          <w:numId w:val="2"/>
        </w:numPr>
        <w:spacing w:after="20" w:before="20"/>
      </w:pPr>
      <w:r>
        <w:rPr>
          <w:rFonts w:ascii="Calibri" w:cs="Calibri" w:eastAsia="Calibri" w:hAnsi="Calibri"/>
          <w:color w:val="201E1D"/>
          <w:sz w:val="20"/>
          <w:szCs w:val="20"/>
        </w:rPr>
        <w:t xml:space="preserve">Bachelor's degree and 5 to 10 years of teaching experience both count toward the points calculation.</w:t>
      </w:r>
    </w:p>
    <w:p>
      <w:pPr>
        <w:pStyle w:val="ListParagraph"/>
        <w:numPr>
          <w:ilvl w:val="0"/>
          <w:numId w:val="2"/>
        </w:numPr>
        <w:spacing w:after="20" w:before="20"/>
      </w:pPr>
      <w:r>
        <w:rPr>
          <w:rFonts w:ascii="Calibri" w:cs="Calibri" w:eastAsia="Calibri" w:hAnsi="Calibri"/>
          <w:color w:val="201E1D"/>
          <w:sz w:val="20"/>
          <w:szCs w:val="20"/>
        </w:rPr>
        <w:t xml:space="preserve">Moderate savings tier matches what the route expects.</w:t>
      </w:r>
    </w:p>
    <w:p>
      <w:pPr>
        <w:pStyle w:val="ListParagraph"/>
        <w:numPr>
          <w:ilvl w:val="0"/>
          <w:numId w:val="2"/>
        </w:numPr>
        <w:spacing w:after="20" w:before="20"/>
      </w:pPr>
      <w:r>
        <w:rPr>
          <w:rFonts w:ascii="Calibri" w:cs="Calibri" w:eastAsia="Calibri" w:hAnsi="Calibri"/>
          <w:color w:val="201E1D"/>
          <w:sz w:val="20"/>
          <w:szCs w:val="20"/>
        </w:rPr>
        <w:t xml:space="preserve">Grants an in-country job search period rather than requiring a job offer before arrival.</w:t>
      </w:r>
    </w:p>
    <w:p>
      <w:pPr>
        <w:pStyle w:val="ListParagraph"/>
        <w:numPr>
          <w:ilvl w:val="0"/>
          <w:numId w:val="2"/>
        </w:numPr>
        <w:spacing w:after="20" w:before="20"/>
      </w:pPr>
      <w:r>
        <w:rPr>
          <w:rFonts w:ascii="Calibri" w:cs="Calibri" w:eastAsia="Calibri" w:hAnsi="Calibri"/>
          <w:color w:val="201E1D"/>
          <w:sz w:val="20"/>
          <w:szCs w:val="20"/>
        </w:rPr>
        <w:t xml:space="preserve">Converts into the Red-White-Red Card, a clear pathway toward permanent residence.</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The route's published priority fields are health and medicine, engineering and technology, and information technology (IT) and software - none is teaching, so it is worth using the official points calculator early to see how your profile scores in practice.</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published in the record available - verify both directly with the official source before budgeting or planning dates.</w:t>
      </w:r>
    </w:p>
    <w:p>
      <w:pPr>
        <w:pStyle w:val="ListParagraph"/>
        <w:numPr>
          <w:ilvl w:val="0"/>
          <w:numId w:val="2"/>
        </w:numPr>
        <w:spacing w:after="20" w:before="20"/>
      </w:pPr>
      <w:r>
        <w:rPr>
          <w:rFonts w:ascii="Calibri" w:cs="Calibri" w:eastAsia="Calibri" w:hAnsi="Calibri"/>
          <w:color w:val="201E1D"/>
          <w:sz w:val="20"/>
          <w:szCs w:val="20"/>
        </w:rPr>
        <w:t xml:space="preserve">The job search visa gives time to search but does not guarantee a job offer, so a focused Austrian job search plan is worth preparing in advance.</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No fixed minimum education is stated, but points are awarded for qualifications, language, age, and experience. Intermediate English is the stated minimum; you already have fluent English. Moderate savings are required.</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official source below.</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 to arrival is typically 3 to 6 months once the visa is granted.</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here is running your profile through the official points calculator to confirm you clear the threshold, then using the job-search window to secure an employment offer that converts the visa into a Red-White-Red Card. Your qualifications, experience, and language level are all point-earning factors, so this is worth testing directly on the calculator as a first step.</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Run your profile through the official points calculator to see where you stand.</w:t>
      </w:r>
    </w:p>
    <w:p>
      <w:pPr>
        <w:pStyle w:val="ListParagraph"/>
        <w:numPr>
          <w:ilvl w:val="0"/>
          <w:numId w:val="2"/>
        </w:numPr>
        <w:spacing w:after="20" w:before="20"/>
      </w:pPr>
      <w:r>
        <w:rPr>
          <w:rFonts w:ascii="Calibri" w:cs="Calibri" w:eastAsia="Calibri" w:hAnsi="Calibri"/>
          <w:color w:val="201E1D"/>
          <w:sz w:val="20"/>
          <w:szCs w:val="20"/>
        </w:rPr>
        <w:t xml:space="preserve">Gather your degree certificate, teaching license, and employment records.</w:t>
      </w:r>
    </w:p>
    <w:p>
      <w:pPr>
        <w:pStyle w:val="ListParagraph"/>
        <w:numPr>
          <w:ilvl w:val="0"/>
          <w:numId w:val="2"/>
        </w:numPr>
        <w:spacing w:after="20" w:before="20"/>
      </w:pPr>
      <w:r>
        <w:rPr>
          <w:rFonts w:ascii="Calibri" w:cs="Calibri" w:eastAsia="Calibri" w:hAnsi="Calibri"/>
          <w:color w:val="201E1D"/>
          <w:sz w:val="20"/>
          <w:szCs w:val="20"/>
        </w:rPr>
        <w:t xml:space="preserve">Build a job search plan targeted at the Austrian market before or shortly after arrival.</w:t>
      </w:r>
    </w:p>
    <w:p>
      <w:pPr>
        <w:pStyle w:val="ListParagraph"/>
        <w:numPr>
          <w:ilvl w:val="0"/>
          <w:numId w:val="2"/>
        </w:numPr>
        <w:spacing w:after="20" w:before="20"/>
      </w:pPr>
      <w:r>
        <w:rPr>
          <w:rFonts w:ascii="Calibri" w:cs="Calibri" w:eastAsia="Calibri" w:hAnsi="Calibri"/>
          <w:color w:val="201E1D"/>
          <w:sz w:val="20"/>
          <w:szCs w:val="20"/>
        </w:rPr>
        <w:t xml:space="preserve">Confirm current costs and processing times directly with the official source.</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ckeyrg9ybeewvfw0krdoi">
        <w:r>
          <w:rPr>
            <w:rFonts w:ascii="Calibri" w:cs="Calibri" w:eastAsia="Calibri" w:hAnsi="Calibri"/>
            <w:color w:val="8C491A"/>
            <w:sz w:val="20"/>
            <w:szCs w:val="20"/>
            <w:u w:val="single"/>
          </w:rPr>
          <w:t xml:space="preserve">https://www.migration.gv.at/en/types-of-immigration/permanent-immigration/very-highly-qualified-workers/</w:t>
        </w:r>
      </w:hyperlink>
    </w:p>
    <w:p>
      <w:pPr>
        <w:pStyle w:val="ListParagraph"/>
        <w:numPr>
          <w:ilvl w:val="0"/>
          <w:numId w:val="2"/>
        </w:numPr>
        <w:spacing w:after="20" w:before="20"/>
      </w:pPr>
      <w:hyperlink w:history="1" r:id="rId4qygmrf_hml6gd6xxxphd">
        <w:r>
          <w:rPr>
            <w:rFonts w:ascii="Calibri" w:cs="Calibri" w:eastAsia="Calibri" w:hAnsi="Calibri"/>
            <w:color w:val="8C491A"/>
            <w:sz w:val="20"/>
            <w:szCs w:val="20"/>
            <w:u w:val="single"/>
          </w:rPr>
          <w:t xml:space="preserve">https://www.migration.gv.at/en/service-and-links/points-calculator/</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2: Ireland — Ireland Critical Skills Employment Permit, sponsored by an employer</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Employer-sponsored · 3-6 months</w:t>
      </w:r>
    </w:p>
    <w:p>
      <w:pPr>
        <w:keepNext/>
        <w:spacing w:after="0" w:before="200"/>
      </w:pPr>
    </w:p>
    <w:p>
      <w:pPr>
        <w:pStyle w:val="Heading2"/>
      </w:pPr>
      <w:r>
        <w:rPr>
          <w:rFonts w:ascii="Calibri" w:cs="Calibri" w:eastAsia="Calibri" w:hAnsi="Calibri"/>
          <w:color w:val="201E1D"/>
          <w:sz w:val="22"/>
          <w:szCs w:val="22"/>
        </w:rPr>
        <w:t xml:space="preserve">Route 2: Ireland - Ireland Critical Skills Employment Permit, sponsored by an employer</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This permit is employer-driven, with no annual quota, and requires the occupation to appear on Ireland's Critical Skills Occupations List. Your fluent English meets the fluent-language minimum this route requires, and your Bachelor of Science with Education plus 5 to 10 years of subject-specific teaching experience are exactly the kind of documented qualifications an employer would submit with the permit application.</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Fluent English meets the route's language requirement exactly.</w:t>
      </w:r>
    </w:p>
    <w:p>
      <w:pPr>
        <w:pStyle w:val="ListParagraph"/>
        <w:numPr>
          <w:ilvl w:val="0"/>
          <w:numId w:val="2"/>
        </w:numPr>
        <w:spacing w:after="20" w:before="20"/>
      </w:pPr>
      <w:r>
        <w:rPr>
          <w:rFonts w:ascii="Calibri" w:cs="Calibri" w:eastAsia="Calibri" w:hAnsi="Calibri"/>
          <w:color w:val="201E1D"/>
          <w:sz w:val="20"/>
          <w:szCs w:val="20"/>
        </w:rPr>
        <w:t xml:space="preserve">No quota - applications are accepted on a rolling basis.</w:t>
      </w:r>
    </w:p>
    <w:p>
      <w:pPr>
        <w:pStyle w:val="ListParagraph"/>
        <w:numPr>
          <w:ilvl w:val="0"/>
          <w:numId w:val="2"/>
        </w:numPr>
        <w:spacing w:after="20" w:before="20"/>
      </w:pPr>
      <w:r>
        <w:rPr>
          <w:rFonts w:ascii="Calibri" w:cs="Calibri" w:eastAsia="Calibri" w:hAnsi="Calibri"/>
          <w:color w:val="201E1D"/>
          <w:sz w:val="20"/>
          <w:szCs w:val="20"/>
        </w:rPr>
        <w:t xml:space="preserve">Employer applies on your behalf once a job offer is in place.</w:t>
      </w:r>
    </w:p>
    <w:p>
      <w:pPr>
        <w:pStyle w:val="ListParagraph"/>
        <w:numPr>
          <w:ilvl w:val="0"/>
          <w:numId w:val="2"/>
        </w:numPr>
        <w:spacing w:after="20" w:before="20"/>
      </w:pPr>
      <w:r>
        <w:rPr>
          <w:rFonts w:ascii="Calibri" w:cs="Calibri" w:eastAsia="Calibri" w:hAnsi="Calibri"/>
          <w:color w:val="201E1D"/>
          <w:sz w:val="20"/>
          <w:szCs w:val="20"/>
        </w:rPr>
        <w:t xml:space="preserve">Bachelor's degree and 5 to 10 years of teaching experience strengthen the application file.</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Your specific teaching occupation needs to be confirmed against the official Critical Skills Occupations List, and checked against the separate ineligible categories list, before relying on this route.</w:t>
      </w:r>
    </w:p>
    <w:p>
      <w:pPr>
        <w:pStyle w:val="ListParagraph"/>
        <w:numPr>
          <w:ilvl w:val="0"/>
          <w:numId w:val="2"/>
        </w:numPr>
        <w:spacing w:after="20" w:before="20"/>
      </w:pPr>
      <w:r>
        <w:rPr>
          <w:rFonts w:ascii="Calibri" w:cs="Calibri" w:eastAsia="Calibri" w:hAnsi="Calibri"/>
          <w:color w:val="201E1D"/>
          <w:sz w:val="20"/>
          <w:szCs w:val="20"/>
        </w:rPr>
        <w:t xml:space="preserve">A job offer from an Irish employer is needed before the permit process starts.</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 with the official source.</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The occupation must appear on the Critical Skills Occupations List. Fluent English is required and already met. The employer submits the application.</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official source below.</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 to arrival is typically 3 to 6 months.</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is twofold: confirming your specific mathematics and physics teaching role is listed among the Critical Skills Occupations (and is not on the ineligible list), and then finding an Irish employer, such as a school, willing to sponsor the permit. Once both are in place, the process itself follows a clear, quota-free path.</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Check the official Critical Skills Occupations List for your specific role.</w:t>
      </w:r>
    </w:p>
    <w:p>
      <w:pPr>
        <w:pStyle w:val="ListParagraph"/>
        <w:numPr>
          <w:ilvl w:val="0"/>
          <w:numId w:val="2"/>
        </w:numPr>
        <w:spacing w:after="20" w:before="20"/>
      </w:pPr>
      <w:r>
        <w:rPr>
          <w:rFonts w:ascii="Calibri" w:cs="Calibri" w:eastAsia="Calibri" w:hAnsi="Calibri"/>
          <w:color w:val="201E1D"/>
          <w:sz w:val="20"/>
          <w:szCs w:val="20"/>
        </w:rPr>
        <w:t xml:space="preserve">Review the ineligible categories list to rule out any conflict.</w:t>
      </w:r>
    </w:p>
    <w:p>
      <w:pPr>
        <w:pStyle w:val="ListParagraph"/>
        <w:numPr>
          <w:ilvl w:val="0"/>
          <w:numId w:val="2"/>
        </w:numPr>
        <w:spacing w:after="20" w:before="20"/>
      </w:pPr>
      <w:r>
        <w:rPr>
          <w:rFonts w:ascii="Calibri" w:cs="Calibri" w:eastAsia="Calibri" w:hAnsi="Calibri"/>
          <w:color w:val="201E1D"/>
          <w:sz w:val="20"/>
          <w:szCs w:val="20"/>
        </w:rPr>
        <w:t xml:space="preserve">Search for Irish schools or education employers who sponsor employment permits.</w:t>
      </w:r>
    </w:p>
    <w:p>
      <w:pPr>
        <w:pStyle w:val="ListParagraph"/>
        <w:numPr>
          <w:ilvl w:val="0"/>
          <w:numId w:val="2"/>
        </w:numPr>
        <w:spacing w:after="20" w:before="20"/>
      </w:pPr>
      <w:r>
        <w:rPr>
          <w:rFonts w:ascii="Calibri" w:cs="Calibri" w:eastAsia="Calibri" w:hAnsi="Calibri"/>
          <w:color w:val="201E1D"/>
          <w:sz w:val="20"/>
          <w:szCs w:val="20"/>
        </w:rPr>
        <w:t xml:space="preserve">Prepare your degree and teaching license documentation for the employer's application.</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u8cvx2f1q1zy_k1p4mhmq">
        <w:r>
          <w:rPr>
            <w:rFonts w:ascii="Calibri" w:cs="Calibri" w:eastAsia="Calibri" w:hAnsi="Calibri"/>
            <w:color w:val="8C491A"/>
            <w:sz w:val="20"/>
            <w:szCs w:val="20"/>
            <w:u w:val="single"/>
          </w:rPr>
          <w:t xml:space="preserve">https://enterprise.gov.ie/en/what-we-do/workplace-and-skills/employment-permits/permit-types/critical-skills-employment-permit/</w:t>
        </w:r>
      </w:hyperlink>
    </w:p>
    <w:p>
      <w:pPr>
        <w:pStyle w:val="ListParagraph"/>
        <w:numPr>
          <w:ilvl w:val="0"/>
          <w:numId w:val="2"/>
        </w:numPr>
        <w:spacing w:after="20" w:before="20"/>
      </w:pPr>
      <w:hyperlink w:history="1" r:id="rIdlcpfhdju9pree7wjs3q3s">
        <w:r>
          <w:rPr>
            <w:rFonts w:ascii="Calibri" w:cs="Calibri" w:eastAsia="Calibri" w:hAnsi="Calibri"/>
            <w:color w:val="8C491A"/>
            <w:sz w:val="20"/>
            <w:szCs w:val="20"/>
            <w:u w:val="single"/>
          </w:rPr>
          <w:t xml:space="preserve">https://enterprise.gov.ie/en/what-we-do/workplace-and-skills/employment-permits/employment-permit-eligibility/highly-skilled-eligible-occupations-list/</w:t>
        </w:r>
      </w:hyperlink>
    </w:p>
    <w:p>
      <w:pPr>
        <w:pStyle w:val="ListParagraph"/>
        <w:numPr>
          <w:ilvl w:val="0"/>
          <w:numId w:val="2"/>
        </w:numPr>
        <w:spacing w:after="20" w:before="20"/>
      </w:pPr>
      <w:hyperlink w:history="1" r:id="rId8tcf5lm2tn4irb9rhwcvd">
        <w:r>
          <w:rPr>
            <w:rFonts w:ascii="Calibri" w:cs="Calibri" w:eastAsia="Calibri" w:hAnsi="Calibri"/>
            <w:color w:val="8C491A"/>
            <w:sz w:val="20"/>
            <w:szCs w:val="20"/>
            <w:u w:val="single"/>
          </w:rPr>
          <w:t xml:space="preserve">https://enterprise.gov.ie/en/what-we-do/workplace-and-skills/employment-permits/employment-permit-eligibility/ineligible-categories-of-employment/</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3: Bahrain — Bahrain school teaching post, sponsored by the employing school on a work permit from the Labour Market Regulatory Authority</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Teaching · Under 3 months</w:t>
      </w:r>
    </w:p>
    <w:p>
      <w:pPr>
        <w:keepNext/>
        <w:spacing w:after="0" w:before="200"/>
      </w:pPr>
    </w:p>
    <w:p>
      <w:pPr>
        <w:pStyle w:val="Heading2"/>
      </w:pPr>
      <w:r>
        <w:rPr>
          <w:rFonts w:ascii="Calibri" w:cs="Calibri" w:eastAsia="Calibri" w:hAnsi="Calibri"/>
          <w:color w:val="201E1D"/>
          <w:sz w:val="22"/>
          <w:szCs w:val="22"/>
        </w:rPr>
        <w:t xml:space="preserve">Route 3: Bahrain - Bahrain school teaching post, sponsored by the employing school on a work permit from the Labour Market Regulatory Authority (LMRA)</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This route is a direct match: the listed fields include education, the required skill is teaching, and fluent English is the stated minimum, which you meet. Your Bachelor of Science with Education, your teaching license, and 5 to 10 years teaching mathematics and physics are exactly the profile a Bahrain school looks for when sponsoring a work permit.</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Direct match on field (education) and skill (teaching).</w:t>
      </w:r>
    </w:p>
    <w:p>
      <w:pPr>
        <w:pStyle w:val="ListParagraph"/>
        <w:numPr>
          <w:ilvl w:val="0"/>
          <w:numId w:val="2"/>
        </w:numPr>
        <w:spacing w:after="20" w:before="20"/>
      </w:pPr>
      <w:r>
        <w:rPr>
          <w:rFonts w:ascii="Calibri" w:cs="Calibri" w:eastAsia="Calibri" w:hAnsi="Calibri"/>
          <w:color w:val="201E1D"/>
          <w:sz w:val="20"/>
          <w:szCs w:val="20"/>
        </w:rPr>
        <w:t xml:space="preserve">Housing allowance and flights are usually included, easing relocation costs against a moderate savings tier.</w:t>
      </w:r>
    </w:p>
    <w:p>
      <w:pPr>
        <w:pStyle w:val="ListParagraph"/>
        <w:numPr>
          <w:ilvl w:val="0"/>
          <w:numId w:val="2"/>
        </w:numPr>
        <w:spacing w:after="20" w:before="20"/>
      </w:pPr>
      <w:r>
        <w:rPr>
          <w:rFonts w:ascii="Calibri" w:cs="Calibri" w:eastAsia="Calibri" w:hAnsi="Calibri"/>
          <w:color w:val="201E1D"/>
          <w:sz w:val="20"/>
          <w:szCs w:val="20"/>
        </w:rPr>
        <w:t xml:space="preserve">Fast route: under 3 months to arrival once a contract is signed.</w:t>
      </w:r>
    </w:p>
    <w:p>
      <w:pPr>
        <w:pStyle w:val="ListParagraph"/>
        <w:numPr>
          <w:ilvl w:val="0"/>
          <w:numId w:val="2"/>
        </w:numPr>
        <w:spacing w:after="20" w:before="20"/>
      </w:pPr>
      <w:r>
        <w:rPr>
          <w:rFonts w:ascii="Calibri" w:cs="Calibri" w:eastAsia="Calibri" w:hAnsi="Calibri"/>
          <w:color w:val="201E1D"/>
          <w:sz w:val="20"/>
          <w:szCs w:val="20"/>
        </w:rPr>
        <w:t xml:space="preserve">Your licensed, subject-specific experience (mathematics and physics) is a strong fit for school hiring needs.</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This is a fixed-term arrangement rather than a path to permanent residence, so plan around contract renewal rather than long-term settlement.</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 with the LMRA.</w:t>
      </w:r>
    </w:p>
    <w:p>
      <w:pPr>
        <w:pStyle w:val="ListParagraph"/>
        <w:numPr>
          <w:ilvl w:val="0"/>
          <w:numId w:val="2"/>
        </w:numPr>
        <w:spacing w:after="20" w:before="20"/>
      </w:pPr>
      <w:r>
        <w:rPr>
          <w:rFonts w:ascii="Calibri" w:cs="Calibri" w:eastAsia="Calibri" w:hAnsi="Calibri"/>
          <w:color w:val="201E1D"/>
          <w:sz w:val="20"/>
          <w:szCs w:val="20"/>
        </w:rPr>
        <w:t xml:space="preserve">The work permit follows a signed school contract, so the practical first step is securing that offer through recruitment channels.</w:t>
      </w:r>
    </w:p>
    <w:p>
      <w:pPr>
        <w:pStyle w:val="ListParagraph"/>
        <w:numPr>
          <w:ilvl w:val="0"/>
          <w:numId w:val="2"/>
        </w:numPr>
        <w:spacing w:after="20" w:before="20"/>
      </w:pPr>
      <w:r>
        <w:rPr>
          <w:rFonts w:ascii="Calibri" w:cs="Calibri" w:eastAsia="Calibri" w:hAnsi="Calibri"/>
          <w:color w:val="201E1D"/>
          <w:sz w:val="20"/>
          <w:szCs w:val="20"/>
        </w:rPr>
        <w:t xml:space="preserve">Degree verification requirements should be confirmed with the LMRA ahead of applying.</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An employing school sponsors a work permit through the Labour Market Regulatory Authority (LMRA). A relevant degree and teaching experience are expected, along with fluent English.</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LMRA.</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 to arrival is typically under 3 months once a contract is signed.</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is being offered a specific teaching contract by a Bahrain school - the work permit itself follows from that signed contract. With a relevant bachelor's degree, a teaching license, and 5 to 10 years of subject-specific experience, applying through the international-school recruitment channels below is a realistic way to prepare for that step.</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Register with international-school recruitment platforms (see Further Resources below).</w:t>
      </w:r>
    </w:p>
    <w:p>
      <w:pPr>
        <w:pStyle w:val="ListParagraph"/>
        <w:numPr>
          <w:ilvl w:val="0"/>
          <w:numId w:val="2"/>
        </w:numPr>
        <w:spacing w:after="20" w:before="20"/>
      </w:pPr>
      <w:r>
        <w:rPr>
          <w:rFonts w:ascii="Calibri" w:cs="Calibri" w:eastAsia="Calibri" w:hAnsi="Calibri"/>
          <w:color w:val="201E1D"/>
          <w:sz w:val="20"/>
          <w:szCs w:val="20"/>
        </w:rPr>
        <w:t xml:space="preserve">Prepare your degree, teaching license, and reference documents for verification.</w:t>
      </w:r>
    </w:p>
    <w:p>
      <w:pPr>
        <w:pStyle w:val="ListParagraph"/>
        <w:numPr>
          <w:ilvl w:val="0"/>
          <w:numId w:val="2"/>
        </w:numPr>
        <w:spacing w:after="20" w:before="20"/>
      </w:pPr>
      <w:r>
        <w:rPr>
          <w:rFonts w:ascii="Calibri" w:cs="Calibri" w:eastAsia="Calibri" w:hAnsi="Calibri"/>
          <w:color w:val="201E1D"/>
          <w:sz w:val="20"/>
          <w:szCs w:val="20"/>
        </w:rPr>
        <w:t xml:space="preserve">Apply directly to Bahrain schools advertising mathematics or physics teaching posts.</w:t>
      </w:r>
    </w:p>
    <w:p>
      <w:pPr>
        <w:pStyle w:val="ListParagraph"/>
        <w:numPr>
          <w:ilvl w:val="0"/>
          <w:numId w:val="2"/>
        </w:numPr>
        <w:spacing w:after="20" w:before="20"/>
      </w:pPr>
      <w:r>
        <w:rPr>
          <w:rFonts w:ascii="Calibri" w:cs="Calibri" w:eastAsia="Calibri" w:hAnsi="Calibri"/>
          <w:color w:val="201E1D"/>
          <w:sz w:val="20"/>
          <w:szCs w:val="20"/>
        </w:rPr>
        <w:t xml:space="preserve">Confirm LMRA work permit requirements and any fees directly with the LMRA.</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qc3b004zlvycyz_xoderq">
        <w:r>
          <w:rPr>
            <w:rFonts w:ascii="Calibri" w:cs="Calibri" w:eastAsia="Calibri" w:hAnsi="Calibri"/>
            <w:color w:val="8C491A"/>
            <w:sz w:val="20"/>
            <w:szCs w:val="20"/>
            <w:u w:val="single"/>
          </w:rPr>
          <w:t xml:space="preserve">https://lmra.gov.bh/en/page/show/106</w:t>
        </w:r>
      </w:hyperlink>
    </w:p>
    <w:p>
      <w:pPr>
        <w:pStyle w:val="ListParagraph"/>
        <w:numPr>
          <w:ilvl w:val="0"/>
          <w:numId w:val="2"/>
        </w:numPr>
        <w:spacing w:after="20" w:before="20"/>
      </w:pPr>
      <w:hyperlink w:history="1" r:id="rId-r2grb2d5t_-amol8egjy">
        <w:r>
          <w:rPr>
            <w:rFonts w:ascii="Calibri" w:cs="Calibri" w:eastAsia="Calibri" w:hAnsi="Calibri"/>
            <w:color w:val="8C491A"/>
            <w:sz w:val="20"/>
            <w:szCs w:val="20"/>
            <w:u w:val="single"/>
          </w:rPr>
          <w:t xml:space="preserve">https://lmra.gov.bh/en/page/show/133</w:t>
        </w:r>
      </w:hyperlink>
    </w:p>
    <w:p>
      <w:pPr>
        <w:pStyle w:val="ListParagraph"/>
        <w:numPr>
          <w:ilvl w:val="0"/>
          <w:numId w:val="2"/>
        </w:numPr>
        <w:spacing w:after="20" w:before="20"/>
      </w:pPr>
      <w:hyperlink w:history="1" r:id="rId2f9a6klpvbumfisscjodj">
        <w:r>
          <w:rPr>
            <w:rFonts w:ascii="Calibri" w:cs="Calibri" w:eastAsia="Calibri" w:hAnsi="Calibri"/>
            <w:color w:val="8C491A"/>
            <w:sz w:val="20"/>
            <w:szCs w:val="20"/>
            <w:u w:val="single"/>
          </w:rPr>
          <w:t xml:space="preserve">https://www.lmra.gov.bh/en/page/show/120</w:t>
        </w:r>
      </w:hyperlink>
    </w:p>
    <w:p>
      <w:pPr>
        <w:pStyle w:val="ListParagraph"/>
        <w:numPr>
          <w:ilvl w:val="0"/>
          <w:numId w:val="2"/>
        </w:numPr>
        <w:spacing w:after="20" w:before="20"/>
      </w:pPr>
      <w:hyperlink w:history="1" r:id="rIdcag2d4qyf0ttbmgkoyyh0">
        <w:r>
          <w:rPr>
            <w:rFonts w:ascii="Calibri" w:cs="Calibri" w:eastAsia="Calibri" w:hAnsi="Calibri"/>
            <w:color w:val="8C491A"/>
            <w:sz w:val="20"/>
            <w:szCs w:val="20"/>
            <w:u w:val="single"/>
          </w:rPr>
          <w:t xml:space="preserve">https://lmra.gov.bh/en/page/show/194</w:t>
        </w:r>
      </w:hyperlink>
    </w:p>
    <w:p>
      <w:pPr>
        <w:pStyle w:val="Heading2"/>
      </w:pPr>
      <w:r>
        <w:rPr>
          <w:rFonts w:ascii="Calibri" w:cs="Calibri" w:eastAsia="Calibri" w:hAnsi="Calibri"/>
          <w:color w:val="201E1D"/>
          <w:sz w:val="22"/>
          <w:szCs w:val="22"/>
        </w:rPr>
        <w:t xml:space="preserve">Further Resources (not official - verify independently)</w:t>
      </w:r>
    </w:p>
    <w:p>
      <w:pPr>
        <w:spacing w:after="80" w:before="40" w:line="276"/>
      </w:pPr>
      <w:r>
        <w:rPr>
          <w:rFonts w:ascii="Calibri" w:cs="Calibri" w:eastAsia="Calibri" w:hAnsi="Calibri"/>
          <w:color w:val="201E1D"/>
          <w:sz w:val="20"/>
          <w:szCs w:val="20"/>
        </w:rPr>
        <w:t xml:space="preserve">These are not official sources. Verify any vacancy, agency, or platform independently before engaging.</w:t>
      </w:r>
    </w:p>
    <w:p>
      <w:pPr>
        <w:pStyle w:val="ListParagraph"/>
        <w:numPr>
          <w:ilvl w:val="0"/>
          <w:numId w:val="2"/>
        </w:numPr>
        <w:spacing w:after="20" w:before="20"/>
      </w:pPr>
      <w:r>
        <w:rPr>
          <w:rFonts w:ascii="Calibri" w:cs="Calibri" w:eastAsia="Calibri" w:hAnsi="Calibri"/>
          <w:color w:val="201E1D"/>
          <w:sz w:val="20"/>
          <w:szCs w:val="20"/>
        </w:rPr>
        <w:t xml:space="preserve">Search Associates - international-school recruitment agency: </w:t>
      </w:r>
      <w:hyperlink w:history="1" r:id="rId3pdy18rlg8teqzejwa3sd">
        <w:r>
          <w:rPr>
            <w:rFonts w:ascii="Calibri" w:cs="Calibri" w:eastAsia="Calibri" w:hAnsi="Calibri"/>
            <w:color w:val="8C491A"/>
            <w:sz w:val="20"/>
            <w:szCs w:val="20"/>
            <w:u w:val="single"/>
          </w:rPr>
          <w:t xml:space="preserve">https://www.searchassociates.com/</w:t>
        </w:r>
      </w:hyperlink>
    </w:p>
    <w:p>
      <w:pPr>
        <w:pStyle w:val="ListParagraph"/>
        <w:numPr>
          <w:ilvl w:val="0"/>
          <w:numId w:val="2"/>
        </w:numPr>
        <w:spacing w:after="20" w:before="20"/>
      </w:pPr>
      <w:r>
        <w:rPr>
          <w:rFonts w:ascii="Calibri" w:cs="Calibri" w:eastAsia="Calibri" w:hAnsi="Calibri"/>
          <w:color w:val="201E1D"/>
          <w:sz w:val="20"/>
          <w:szCs w:val="20"/>
        </w:rPr>
        <w:t xml:space="preserve">TES Jobs - international-school teaching vacancies: </w:t>
      </w:r>
      <w:hyperlink w:history="1" r:id="rIdoscowmjgf9socgnrvvxpw">
        <w:r>
          <w:rPr>
            <w:rFonts w:ascii="Calibri" w:cs="Calibri" w:eastAsia="Calibri" w:hAnsi="Calibri"/>
            <w:color w:val="8C491A"/>
            <w:sz w:val="20"/>
            <w:szCs w:val="20"/>
            <w:u w:val="single"/>
          </w:rPr>
          <w:t xml:space="preserve">https://www.tes.com/jobs/</w:t>
        </w:r>
      </w:hyperlink>
    </w:p>
    <w:p>
      <w:pPr>
        <w:pStyle w:val="ListParagraph"/>
        <w:numPr>
          <w:ilvl w:val="0"/>
          <w:numId w:val="2"/>
        </w:numPr>
        <w:spacing w:after="20" w:before="20"/>
      </w:pPr>
      <w:r>
        <w:rPr>
          <w:rFonts w:ascii="Calibri" w:cs="Calibri" w:eastAsia="Calibri" w:hAnsi="Calibri"/>
          <w:color w:val="201E1D"/>
          <w:sz w:val="20"/>
          <w:szCs w:val="20"/>
        </w:rPr>
        <w:t xml:space="preserve">ISS (International Schools Services) - recruitment &amp; services: </w:t>
      </w:r>
      <w:hyperlink w:history="1" r:id="rIdjowsb4-v5mncr3dc-95rp">
        <w:r>
          <w:rPr>
            <w:rFonts w:ascii="Calibri" w:cs="Calibri" w:eastAsia="Calibri" w:hAnsi="Calibri"/>
            <w:color w:val="8C491A"/>
            <w:sz w:val="20"/>
            <w:szCs w:val="20"/>
            <w:u w:val="single"/>
          </w:rPr>
          <w:t xml:space="preserve">https://www.iss.edu/</w:t>
        </w:r>
      </w:hyperlink>
    </w:p>
    <w:p>
      <w:pPr>
        <w:pStyle w:val="ListParagraph"/>
        <w:numPr>
          <w:ilvl w:val="0"/>
          <w:numId w:val="2"/>
        </w:numPr>
        <w:spacing w:after="20" w:before="20"/>
      </w:pPr>
      <w:r>
        <w:rPr>
          <w:rFonts w:ascii="Calibri" w:cs="Calibri" w:eastAsia="Calibri" w:hAnsi="Calibri"/>
          <w:color w:val="201E1D"/>
          <w:sz w:val="20"/>
          <w:szCs w:val="20"/>
        </w:rPr>
        <w:t xml:space="preserve">Schrole - international-school recruitment platform: </w:t>
      </w:r>
      <w:hyperlink w:history="1" r:id="rIdtoraqofo3fobeynanyfzj">
        <w:r>
          <w:rPr>
            <w:rFonts w:ascii="Calibri" w:cs="Calibri" w:eastAsia="Calibri" w:hAnsi="Calibri"/>
            <w:color w:val="8C491A"/>
            <w:sz w:val="20"/>
            <w:szCs w:val="20"/>
            <w:u w:val="single"/>
          </w:rPr>
          <w:t xml:space="preserve">https://www.schrole.com/</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4: UAE — United Arab Emirates school teaching post, sponsored by the school</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Teaching · Under 3 months</w:t>
      </w:r>
    </w:p>
    <w:p>
      <w:pPr>
        <w:keepNext/>
        <w:spacing w:after="0" w:before="200"/>
      </w:pPr>
    </w:p>
    <w:p>
      <w:pPr>
        <w:pStyle w:val="Heading2"/>
      </w:pPr>
      <w:r>
        <w:rPr>
          <w:rFonts w:ascii="Calibri" w:cs="Calibri" w:eastAsia="Calibri" w:hAnsi="Calibri"/>
          <w:color w:val="201E1D"/>
          <w:sz w:val="22"/>
          <w:szCs w:val="22"/>
        </w:rPr>
        <w:t xml:space="preserve">Route 4: UAE - United Arab Emirates (UAE) school teaching post, sponsored by the school</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Your Bachelor of Science with Education meets this route's stated minimum education requirement. The listed fields include education, the required skill is teaching, and fluent English is the stated minimum - all of which you meet, alongside 5 to 10 years teaching mathematics and physics.</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Bachelor's degree meets the stated minimum education requirement directly.</w:t>
      </w:r>
    </w:p>
    <w:p>
      <w:pPr>
        <w:pStyle w:val="ListParagraph"/>
        <w:numPr>
          <w:ilvl w:val="0"/>
          <w:numId w:val="2"/>
        </w:numPr>
        <w:spacing w:after="20" w:before="20"/>
      </w:pPr>
      <w:r>
        <w:rPr>
          <w:rFonts w:ascii="Calibri" w:cs="Calibri" w:eastAsia="Calibri" w:hAnsi="Calibri"/>
          <w:color w:val="201E1D"/>
          <w:sz w:val="20"/>
          <w:szCs w:val="20"/>
        </w:rPr>
        <w:t xml:space="preserve">Housing and flights are usually included, easing costs against a moderate savings tier.</w:t>
      </w:r>
    </w:p>
    <w:p>
      <w:pPr>
        <w:pStyle w:val="ListParagraph"/>
        <w:numPr>
          <w:ilvl w:val="0"/>
          <w:numId w:val="2"/>
        </w:numPr>
        <w:spacing w:after="20" w:before="20"/>
      </w:pPr>
      <w:r>
        <w:rPr>
          <w:rFonts w:ascii="Calibri" w:cs="Calibri" w:eastAsia="Calibri" w:hAnsi="Calibri"/>
          <w:color w:val="201E1D"/>
          <w:sz w:val="20"/>
          <w:szCs w:val="20"/>
        </w:rPr>
        <w:t xml:space="preserve">Fast route: under 3 months to arrival once a contract is signed.</w:t>
      </w:r>
    </w:p>
    <w:p>
      <w:pPr>
        <w:pStyle w:val="ListParagraph"/>
        <w:numPr>
          <w:ilvl w:val="0"/>
          <w:numId w:val="2"/>
        </w:numPr>
        <w:spacing w:after="20" w:before="20"/>
      </w:pPr>
      <w:r>
        <w:rPr>
          <w:rFonts w:ascii="Calibri" w:cs="Calibri" w:eastAsia="Calibri" w:hAnsi="Calibri"/>
          <w:color w:val="201E1D"/>
          <w:sz w:val="20"/>
          <w:szCs w:val="20"/>
        </w:rPr>
        <w:t xml:space="preserve">The school sponsors the full visa once hired.</w:t>
      </w:r>
    </w:p>
    <w:p>
      <w:pPr>
        <w:pStyle w:val="ListParagraph"/>
        <w:numPr>
          <w:ilvl w:val="0"/>
          <w:numId w:val="2"/>
        </w:numPr>
        <w:spacing w:after="20" w:before="20"/>
      </w:pPr>
      <w:r>
        <w:rPr>
          <w:rFonts w:ascii="Calibri" w:cs="Calibri" w:eastAsia="Calibri" w:hAnsi="Calibri"/>
          <w:color w:val="201E1D"/>
          <w:sz w:val="20"/>
          <w:szCs w:val="20"/>
        </w:rPr>
        <w:t xml:space="preserve">The UAE has a large, active international-school market for mathematics and science teachers.</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This is a fixed-term, renewable contract rather than a path to permanent residence.</w:t>
      </w:r>
    </w:p>
    <w:p>
      <w:pPr>
        <w:pStyle w:val="ListParagraph"/>
        <w:numPr>
          <w:ilvl w:val="0"/>
          <w:numId w:val="2"/>
        </w:numPr>
        <w:spacing w:after="20" w:before="20"/>
      </w:pPr>
      <w:r>
        <w:rPr>
          <w:rFonts w:ascii="Calibri" w:cs="Calibri" w:eastAsia="Calibri" w:hAnsi="Calibri"/>
          <w:color w:val="201E1D"/>
          <w:sz w:val="20"/>
          <w:szCs w:val="20"/>
        </w:rPr>
        <w:t xml:space="preserve">Degree attestation is typically required - confirm the process ahead of applying.</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 with the official sources.</w:t>
      </w:r>
    </w:p>
    <w:p>
      <w:pPr>
        <w:pStyle w:val="ListParagraph"/>
        <w:numPr>
          <w:ilvl w:val="0"/>
          <w:numId w:val="2"/>
        </w:numPr>
        <w:spacing w:after="20" w:before="20"/>
      </w:pPr>
      <w:r>
        <w:rPr>
          <w:rFonts w:ascii="Calibri" w:cs="Calibri" w:eastAsia="Calibri" w:hAnsi="Calibri"/>
          <w:color w:val="201E1D"/>
          <w:sz w:val="20"/>
          <w:szCs w:val="20"/>
        </w:rPr>
        <w:t xml:space="preserve">A signed school contract is needed before the work permit process starts.</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A bachelor's degree (met), teaching experience, fluent English, and a work permit sponsored by the hiring school.</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official sources below.</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 to arrival is typically under 3 months once a contract is signed.</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is securing a signed offer from a specific UAE school, most commonly through international-school recruitment fairs or agencies, and completing degree attestation in parallel. Your bachelor's degree, teaching license, and 5 to 10 years of subject-specific experience make this a realistic route to prepare for.</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Start the degree attestation process (Uganda to UAE) ahead of applying.</w:t>
      </w:r>
    </w:p>
    <w:p>
      <w:pPr>
        <w:pStyle w:val="ListParagraph"/>
        <w:numPr>
          <w:ilvl w:val="0"/>
          <w:numId w:val="2"/>
        </w:numPr>
        <w:spacing w:after="20" w:before="20"/>
      </w:pPr>
      <w:r>
        <w:rPr>
          <w:rFonts w:ascii="Calibri" w:cs="Calibri" w:eastAsia="Calibri" w:hAnsi="Calibri"/>
          <w:color w:val="201E1D"/>
          <w:sz w:val="20"/>
          <w:szCs w:val="20"/>
        </w:rPr>
        <w:t xml:space="preserve">Register with international-school recruitment platforms (see Further Resources below).</w:t>
      </w:r>
    </w:p>
    <w:p>
      <w:pPr>
        <w:pStyle w:val="ListParagraph"/>
        <w:numPr>
          <w:ilvl w:val="0"/>
          <w:numId w:val="2"/>
        </w:numPr>
        <w:spacing w:after="20" w:before="20"/>
      </w:pPr>
      <w:r>
        <w:rPr>
          <w:rFonts w:ascii="Calibri" w:cs="Calibri" w:eastAsia="Calibri" w:hAnsi="Calibri"/>
          <w:color w:val="201E1D"/>
          <w:sz w:val="20"/>
          <w:szCs w:val="20"/>
        </w:rPr>
        <w:t xml:space="preserve">Apply directly to UAE schools recruiting mathematics or physics teachers.</w:t>
      </w:r>
    </w:p>
    <w:p>
      <w:pPr>
        <w:pStyle w:val="ListParagraph"/>
        <w:numPr>
          <w:ilvl w:val="0"/>
          <w:numId w:val="2"/>
        </w:numPr>
        <w:spacing w:after="20" w:before="20"/>
      </w:pPr>
      <w:r>
        <w:rPr>
          <w:rFonts w:ascii="Calibri" w:cs="Calibri" w:eastAsia="Calibri" w:hAnsi="Calibri"/>
          <w:color w:val="201E1D"/>
          <w:sz w:val="20"/>
          <w:szCs w:val="20"/>
        </w:rPr>
        <w:t xml:space="preserve">Confirm work permit steps directly via the official links once an offer is secured.</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tr4d3jx1akmx0b0t9rkmx">
        <w:r>
          <w:rPr>
            <w:rFonts w:ascii="Calibri" w:cs="Calibri" w:eastAsia="Calibri" w:hAnsi="Calibri"/>
            <w:color w:val="8C491A"/>
            <w:sz w:val="20"/>
            <w:szCs w:val="20"/>
            <w:u w:val="single"/>
          </w:rPr>
          <w:t xml:space="preserve">https://u.ae/en/information-and-services/education/school-education-k-12/qualifications-to-be-a-teacher</w:t>
        </w:r>
      </w:hyperlink>
    </w:p>
    <w:p>
      <w:pPr>
        <w:pStyle w:val="ListParagraph"/>
        <w:numPr>
          <w:ilvl w:val="0"/>
          <w:numId w:val="2"/>
        </w:numPr>
        <w:spacing w:after="20" w:before="20"/>
      </w:pPr>
      <w:hyperlink w:history="1" r:id="rIdqnzs_np70u-7q0u_gmev0">
        <w:r>
          <w:rPr>
            <w:rFonts w:ascii="Calibri" w:cs="Calibri" w:eastAsia="Calibri" w:hAnsi="Calibri"/>
            <w:color w:val="8C491A"/>
            <w:sz w:val="20"/>
            <w:szCs w:val="20"/>
            <w:u w:val="single"/>
          </w:rPr>
          <w:t xml:space="preserve">https://u.ae/en/information-and-services/jobs/employment-in-the-private-sector/job-offers-and-work-permits-and-contracts/work-permits</w:t>
        </w:r>
      </w:hyperlink>
    </w:p>
    <w:p>
      <w:pPr>
        <w:pStyle w:val="Heading2"/>
      </w:pPr>
      <w:r>
        <w:rPr>
          <w:rFonts w:ascii="Calibri" w:cs="Calibri" w:eastAsia="Calibri" w:hAnsi="Calibri"/>
          <w:color w:val="201E1D"/>
          <w:sz w:val="22"/>
          <w:szCs w:val="22"/>
        </w:rPr>
        <w:t xml:space="preserve">Further Resources (not official - verify independently)</w:t>
      </w:r>
    </w:p>
    <w:p>
      <w:pPr>
        <w:spacing w:after="80" w:before="40" w:line="276"/>
      </w:pPr>
      <w:r>
        <w:rPr>
          <w:rFonts w:ascii="Calibri" w:cs="Calibri" w:eastAsia="Calibri" w:hAnsi="Calibri"/>
          <w:color w:val="201E1D"/>
          <w:sz w:val="20"/>
          <w:szCs w:val="20"/>
        </w:rPr>
        <w:t xml:space="preserve">These are not official sources. Verify any vacancy, agency, or platform independently before engaging.</w:t>
      </w:r>
    </w:p>
    <w:p>
      <w:pPr>
        <w:pStyle w:val="ListParagraph"/>
        <w:numPr>
          <w:ilvl w:val="0"/>
          <w:numId w:val="2"/>
        </w:numPr>
        <w:spacing w:after="20" w:before="20"/>
      </w:pPr>
      <w:r>
        <w:rPr>
          <w:rFonts w:ascii="Calibri" w:cs="Calibri" w:eastAsia="Calibri" w:hAnsi="Calibri"/>
          <w:color w:val="201E1D"/>
          <w:sz w:val="20"/>
          <w:szCs w:val="20"/>
        </w:rPr>
        <w:t xml:space="preserve">Search Associates - international-school recruitment agency: </w:t>
      </w:r>
      <w:hyperlink w:history="1" r:id="rIdghn6eynowwx8flta8b1ru">
        <w:r>
          <w:rPr>
            <w:rFonts w:ascii="Calibri" w:cs="Calibri" w:eastAsia="Calibri" w:hAnsi="Calibri"/>
            <w:color w:val="8C491A"/>
            <w:sz w:val="20"/>
            <w:szCs w:val="20"/>
            <w:u w:val="single"/>
          </w:rPr>
          <w:t xml:space="preserve">https://www.searchassociates.com/</w:t>
        </w:r>
      </w:hyperlink>
    </w:p>
    <w:p>
      <w:pPr>
        <w:pStyle w:val="ListParagraph"/>
        <w:numPr>
          <w:ilvl w:val="0"/>
          <w:numId w:val="2"/>
        </w:numPr>
        <w:spacing w:after="20" w:before="20"/>
      </w:pPr>
      <w:r>
        <w:rPr>
          <w:rFonts w:ascii="Calibri" w:cs="Calibri" w:eastAsia="Calibri" w:hAnsi="Calibri"/>
          <w:color w:val="201E1D"/>
          <w:sz w:val="20"/>
          <w:szCs w:val="20"/>
        </w:rPr>
        <w:t xml:space="preserve">TES Jobs - international-school teaching vacancies: </w:t>
      </w:r>
      <w:hyperlink w:history="1" r:id="rIdmrg-ylw0euis03mdven_t">
        <w:r>
          <w:rPr>
            <w:rFonts w:ascii="Calibri" w:cs="Calibri" w:eastAsia="Calibri" w:hAnsi="Calibri"/>
            <w:color w:val="8C491A"/>
            <w:sz w:val="20"/>
            <w:szCs w:val="20"/>
            <w:u w:val="single"/>
          </w:rPr>
          <w:t xml:space="preserve">https://www.tes.com/jobs/</w:t>
        </w:r>
      </w:hyperlink>
    </w:p>
    <w:p>
      <w:pPr>
        <w:pStyle w:val="ListParagraph"/>
        <w:numPr>
          <w:ilvl w:val="0"/>
          <w:numId w:val="2"/>
        </w:numPr>
        <w:spacing w:after="20" w:before="20"/>
      </w:pPr>
      <w:r>
        <w:rPr>
          <w:rFonts w:ascii="Calibri" w:cs="Calibri" w:eastAsia="Calibri" w:hAnsi="Calibri"/>
          <w:color w:val="201E1D"/>
          <w:sz w:val="20"/>
          <w:szCs w:val="20"/>
        </w:rPr>
        <w:t xml:space="preserve">ISS (International Schools Services) - recruitment &amp; services: </w:t>
      </w:r>
      <w:hyperlink w:history="1" r:id="rIdkh2ro5b3yh8bksw58idk9">
        <w:r>
          <w:rPr>
            <w:rFonts w:ascii="Calibri" w:cs="Calibri" w:eastAsia="Calibri" w:hAnsi="Calibri"/>
            <w:color w:val="8C491A"/>
            <w:sz w:val="20"/>
            <w:szCs w:val="20"/>
            <w:u w:val="single"/>
          </w:rPr>
          <w:t xml:space="preserve">https://www.iss.edu/</w:t>
        </w:r>
      </w:hyperlink>
    </w:p>
    <w:p>
      <w:pPr>
        <w:pStyle w:val="ListParagraph"/>
        <w:numPr>
          <w:ilvl w:val="0"/>
          <w:numId w:val="2"/>
        </w:numPr>
        <w:spacing w:after="20" w:before="20"/>
      </w:pPr>
      <w:r>
        <w:rPr>
          <w:rFonts w:ascii="Calibri" w:cs="Calibri" w:eastAsia="Calibri" w:hAnsi="Calibri"/>
          <w:color w:val="201E1D"/>
          <w:sz w:val="20"/>
          <w:szCs w:val="20"/>
        </w:rPr>
        <w:t xml:space="preserve">Schrole - international-school recruitment platform: </w:t>
      </w:r>
      <w:hyperlink w:history="1" r:id="rIdvnjd3hjkcx9w62oi1o_az">
        <w:r>
          <w:rPr>
            <w:rFonts w:ascii="Calibri" w:cs="Calibri" w:eastAsia="Calibri" w:hAnsi="Calibri"/>
            <w:color w:val="8C491A"/>
            <w:sz w:val="20"/>
            <w:szCs w:val="20"/>
            <w:u w:val="single"/>
          </w:rPr>
          <w:t xml:space="preserve">https://www.schrole.com/</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5: Oman — Oman school teaching post on a two-year work visa, sponsored by the school</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Teaching · Under 3 months</w:t>
      </w:r>
    </w:p>
    <w:p>
      <w:pPr>
        <w:keepNext/>
        <w:spacing w:after="0" w:before="200"/>
      </w:pPr>
    </w:p>
    <w:p>
      <w:pPr>
        <w:pStyle w:val="Heading2"/>
      </w:pPr>
      <w:r>
        <w:rPr>
          <w:rFonts w:ascii="Calibri" w:cs="Calibri" w:eastAsia="Calibri" w:hAnsi="Calibri"/>
          <w:color w:val="201E1D"/>
          <w:sz w:val="22"/>
          <w:szCs w:val="22"/>
        </w:rPr>
        <w:t xml:space="preserve">Route 5: Oman - Oman school teaching post on a two-year work visa, sponsored by the school</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The listed fields include education, the required skill is teaching, and fluent English is the stated minimum - all matched by your profile. No minimum education is stated for this route, so your Bachelor of Science with Education and your teaching license exceed what is formally required, strengthening your application.</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Field and skill match directly (education, teaching).</w:t>
      </w:r>
    </w:p>
    <w:p>
      <w:pPr>
        <w:pStyle w:val="ListParagraph"/>
        <w:numPr>
          <w:ilvl w:val="0"/>
          <w:numId w:val="2"/>
        </w:numPr>
        <w:spacing w:after="20" w:before="20"/>
      </w:pPr>
      <w:r>
        <w:rPr>
          <w:rFonts w:ascii="Calibri" w:cs="Calibri" w:eastAsia="Calibri" w:hAnsi="Calibri"/>
          <w:color w:val="201E1D"/>
          <w:sz w:val="20"/>
          <w:szCs w:val="20"/>
        </w:rPr>
        <w:t xml:space="preserve">Housing and flights are typically included with the post.</w:t>
      </w:r>
    </w:p>
    <w:p>
      <w:pPr>
        <w:pStyle w:val="ListParagraph"/>
        <w:numPr>
          <w:ilvl w:val="0"/>
          <w:numId w:val="2"/>
        </w:numPr>
        <w:spacing w:after="20" w:before="20"/>
      </w:pPr>
      <w:r>
        <w:rPr>
          <w:rFonts w:ascii="Calibri" w:cs="Calibri" w:eastAsia="Calibri" w:hAnsi="Calibri"/>
          <w:color w:val="201E1D"/>
          <w:sz w:val="20"/>
          <w:szCs w:val="20"/>
        </w:rPr>
        <w:t xml:space="preserve">Fast route: under 3 months to arrival once a contract is signed.</w:t>
      </w:r>
    </w:p>
    <w:p>
      <w:pPr>
        <w:pStyle w:val="ListParagraph"/>
        <w:numPr>
          <w:ilvl w:val="0"/>
          <w:numId w:val="2"/>
        </w:numPr>
        <w:spacing w:after="20" w:before="20"/>
      </w:pPr>
      <w:r>
        <w:rPr>
          <w:rFonts w:ascii="Calibri" w:cs="Calibri" w:eastAsia="Calibri" w:hAnsi="Calibri"/>
          <w:color w:val="201E1D"/>
          <w:sz w:val="20"/>
          <w:szCs w:val="20"/>
        </w:rPr>
        <w:t xml:space="preserve">Your bachelor's degree and teaching license exceed the stated minimum, strengthening your file.</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Oman's international-school market is smaller than the UAE's or Bahrain's, so a wider search across agencies is worth planning for.</w:t>
      </w:r>
    </w:p>
    <w:p>
      <w:pPr>
        <w:pStyle w:val="ListParagraph"/>
        <w:numPr>
          <w:ilvl w:val="0"/>
          <w:numId w:val="2"/>
        </w:numPr>
        <w:spacing w:after="20" w:before="20"/>
      </w:pPr>
      <w:r>
        <w:rPr>
          <w:rFonts w:ascii="Calibri" w:cs="Calibri" w:eastAsia="Calibri" w:hAnsi="Calibri"/>
          <w:color w:val="201E1D"/>
          <w:sz w:val="20"/>
          <w:szCs w:val="20"/>
        </w:rPr>
        <w:t xml:space="preserve">Contracts run 1 to 2 years and renew rather than lead directly to permanent residence.</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 with the Royal Oman Police (ROP).</w:t>
      </w:r>
    </w:p>
    <w:p>
      <w:pPr>
        <w:pStyle w:val="ListParagraph"/>
        <w:numPr>
          <w:ilvl w:val="0"/>
          <w:numId w:val="2"/>
        </w:numPr>
        <w:spacing w:after="20" w:before="20"/>
      </w:pPr>
      <w:r>
        <w:rPr>
          <w:rFonts w:ascii="Calibri" w:cs="Calibri" w:eastAsia="Calibri" w:hAnsi="Calibri"/>
          <w:color w:val="201E1D"/>
          <w:sz w:val="20"/>
          <w:szCs w:val="20"/>
        </w:rPr>
        <w:t xml:space="preserve">A signed contract with a specific school is needed before the visa process starts.</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A two-year work visa sponsored by the employing school, a relevant background, teaching experience, and fluent English.</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Royal Oman Police (ROP).</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 to arrival is typically under 3 months once a contract is signed.</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is securing a specific teaching contract in a smaller market than the UAE or Bahrain, which makes casting a wide net across recruitment agencies worthwhile. Your degree, license, and 5 to 10 years of subject-specific experience meet what this route generally expects.</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Search broadly across Gulf recruitment platforms, given Oman's smaller market (see Further Resources below).</w:t>
      </w:r>
    </w:p>
    <w:p>
      <w:pPr>
        <w:pStyle w:val="ListParagraph"/>
        <w:numPr>
          <w:ilvl w:val="0"/>
          <w:numId w:val="2"/>
        </w:numPr>
        <w:spacing w:after="20" w:before="20"/>
      </w:pPr>
      <w:r>
        <w:rPr>
          <w:rFonts w:ascii="Calibri" w:cs="Calibri" w:eastAsia="Calibri" w:hAnsi="Calibri"/>
          <w:color w:val="201E1D"/>
          <w:sz w:val="20"/>
          <w:szCs w:val="20"/>
        </w:rPr>
        <w:t xml:space="preserve">Prepare your teaching license and degree documents for verification.</w:t>
      </w:r>
    </w:p>
    <w:p>
      <w:pPr>
        <w:pStyle w:val="ListParagraph"/>
        <w:numPr>
          <w:ilvl w:val="0"/>
          <w:numId w:val="2"/>
        </w:numPr>
        <w:spacing w:after="20" w:before="20"/>
      </w:pPr>
      <w:r>
        <w:rPr>
          <w:rFonts w:ascii="Calibri" w:cs="Calibri" w:eastAsia="Calibri" w:hAnsi="Calibri"/>
          <w:color w:val="201E1D"/>
          <w:sz w:val="20"/>
          <w:szCs w:val="20"/>
        </w:rPr>
        <w:t xml:space="preserve">Confirm visa and sponsorship steps directly with the Royal Oman Police (ROP).</w:t>
      </w:r>
    </w:p>
    <w:p>
      <w:pPr>
        <w:pStyle w:val="ListParagraph"/>
        <w:numPr>
          <w:ilvl w:val="0"/>
          <w:numId w:val="2"/>
        </w:numPr>
        <w:spacing w:after="20" w:before="20"/>
      </w:pPr>
      <w:r>
        <w:rPr>
          <w:rFonts w:ascii="Calibri" w:cs="Calibri" w:eastAsia="Calibri" w:hAnsi="Calibri"/>
          <w:color w:val="201E1D"/>
          <w:sz w:val="20"/>
          <w:szCs w:val="20"/>
        </w:rPr>
        <w:t xml:space="preserve">Apply directly to identified school vacancies.</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7j0m1o3b_gktmodlertnv">
        <w:r>
          <w:rPr>
            <w:rFonts w:ascii="Calibri" w:cs="Calibri" w:eastAsia="Calibri" w:hAnsi="Calibri"/>
            <w:color w:val="8C491A"/>
            <w:sz w:val="20"/>
            <w:szCs w:val="20"/>
            <w:u w:val="single"/>
          </w:rPr>
          <w:t xml:space="preserve">https://www.rop.gov.om/english/Visas.aspx</w:t>
        </w:r>
      </w:hyperlink>
    </w:p>
    <w:p>
      <w:pPr>
        <w:pStyle w:val="Heading2"/>
      </w:pPr>
      <w:r>
        <w:rPr>
          <w:rFonts w:ascii="Calibri" w:cs="Calibri" w:eastAsia="Calibri" w:hAnsi="Calibri"/>
          <w:color w:val="201E1D"/>
          <w:sz w:val="22"/>
          <w:szCs w:val="22"/>
        </w:rPr>
        <w:t xml:space="preserve">Further Resources (not official - verify independently)</w:t>
      </w:r>
    </w:p>
    <w:p>
      <w:pPr>
        <w:spacing w:after="80" w:before="40" w:line="276"/>
      </w:pPr>
      <w:r>
        <w:rPr>
          <w:rFonts w:ascii="Calibri" w:cs="Calibri" w:eastAsia="Calibri" w:hAnsi="Calibri"/>
          <w:color w:val="201E1D"/>
          <w:sz w:val="20"/>
          <w:szCs w:val="20"/>
        </w:rPr>
        <w:t xml:space="preserve">These are not official sources. Verify any vacancy, agency, or platform independently before engaging.</w:t>
      </w:r>
    </w:p>
    <w:p>
      <w:pPr>
        <w:pStyle w:val="ListParagraph"/>
        <w:numPr>
          <w:ilvl w:val="0"/>
          <w:numId w:val="2"/>
        </w:numPr>
        <w:spacing w:after="20" w:before="20"/>
      </w:pPr>
      <w:r>
        <w:rPr>
          <w:rFonts w:ascii="Calibri" w:cs="Calibri" w:eastAsia="Calibri" w:hAnsi="Calibri"/>
          <w:color w:val="201E1D"/>
          <w:sz w:val="20"/>
          <w:szCs w:val="20"/>
        </w:rPr>
        <w:t xml:space="preserve">Search Associates - international-school recruitment agency: </w:t>
      </w:r>
      <w:hyperlink w:history="1" r:id="rIdk_uzgu4corwepowtly1rj">
        <w:r>
          <w:rPr>
            <w:rFonts w:ascii="Calibri" w:cs="Calibri" w:eastAsia="Calibri" w:hAnsi="Calibri"/>
            <w:color w:val="8C491A"/>
            <w:sz w:val="20"/>
            <w:szCs w:val="20"/>
            <w:u w:val="single"/>
          </w:rPr>
          <w:t xml:space="preserve">https://www.searchassociates.com/</w:t>
        </w:r>
      </w:hyperlink>
    </w:p>
    <w:p>
      <w:pPr>
        <w:pStyle w:val="ListParagraph"/>
        <w:numPr>
          <w:ilvl w:val="0"/>
          <w:numId w:val="2"/>
        </w:numPr>
        <w:spacing w:after="20" w:before="20"/>
      </w:pPr>
      <w:r>
        <w:rPr>
          <w:rFonts w:ascii="Calibri" w:cs="Calibri" w:eastAsia="Calibri" w:hAnsi="Calibri"/>
          <w:color w:val="201E1D"/>
          <w:sz w:val="20"/>
          <w:szCs w:val="20"/>
        </w:rPr>
        <w:t xml:space="preserve">TES Jobs - international-school teaching vacancies: </w:t>
      </w:r>
      <w:hyperlink w:history="1" r:id="rId2e-qjq_ljxphnxt22tsco">
        <w:r>
          <w:rPr>
            <w:rFonts w:ascii="Calibri" w:cs="Calibri" w:eastAsia="Calibri" w:hAnsi="Calibri"/>
            <w:color w:val="8C491A"/>
            <w:sz w:val="20"/>
            <w:szCs w:val="20"/>
            <w:u w:val="single"/>
          </w:rPr>
          <w:t xml:space="preserve">https://www.tes.com/jobs/</w:t>
        </w:r>
      </w:hyperlink>
    </w:p>
    <w:p>
      <w:pPr>
        <w:pStyle w:val="ListParagraph"/>
        <w:numPr>
          <w:ilvl w:val="0"/>
          <w:numId w:val="2"/>
        </w:numPr>
        <w:spacing w:after="20" w:before="20"/>
      </w:pPr>
      <w:r>
        <w:rPr>
          <w:rFonts w:ascii="Calibri" w:cs="Calibri" w:eastAsia="Calibri" w:hAnsi="Calibri"/>
          <w:color w:val="201E1D"/>
          <w:sz w:val="20"/>
          <w:szCs w:val="20"/>
        </w:rPr>
        <w:t xml:space="preserve">ISS (International Schools Services) - recruitment &amp; services: </w:t>
      </w:r>
      <w:hyperlink w:history="1" r:id="rIde-yvgqbwslru7hkuwhqdj">
        <w:r>
          <w:rPr>
            <w:rFonts w:ascii="Calibri" w:cs="Calibri" w:eastAsia="Calibri" w:hAnsi="Calibri"/>
            <w:color w:val="8C491A"/>
            <w:sz w:val="20"/>
            <w:szCs w:val="20"/>
            <w:u w:val="single"/>
          </w:rPr>
          <w:t xml:space="preserve">https://www.iss.edu/</w:t>
        </w:r>
      </w:hyperlink>
    </w:p>
    <w:p>
      <w:pPr>
        <w:pStyle w:val="ListParagraph"/>
        <w:numPr>
          <w:ilvl w:val="0"/>
          <w:numId w:val="2"/>
        </w:numPr>
        <w:spacing w:after="20" w:before="20"/>
      </w:pPr>
      <w:r>
        <w:rPr>
          <w:rFonts w:ascii="Calibri" w:cs="Calibri" w:eastAsia="Calibri" w:hAnsi="Calibri"/>
          <w:color w:val="201E1D"/>
          <w:sz w:val="20"/>
          <w:szCs w:val="20"/>
        </w:rPr>
        <w:t xml:space="preserve">Schrole - international-school recruitment platform: </w:t>
      </w:r>
      <w:hyperlink w:history="1" r:id="rIdljyatolhvr5i_ktqytuzj">
        <w:r>
          <w:rPr>
            <w:rFonts w:ascii="Calibri" w:cs="Calibri" w:eastAsia="Calibri" w:hAnsi="Calibri"/>
            <w:color w:val="8C491A"/>
            <w:sz w:val="20"/>
            <w:szCs w:val="20"/>
            <w:u w:val="single"/>
          </w:rPr>
          <w:t xml:space="preserve">https://www.schrole.com/</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6: Oman — Oman two-year work visa for a professional post, sponsored by the employer</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Employer-sponsored · Varies</w:t>
      </w:r>
    </w:p>
    <w:p>
      <w:pPr>
        <w:keepNext/>
        <w:spacing w:after="0" w:before="200"/>
      </w:pPr>
    </w:p>
    <w:p>
      <w:pPr>
        <w:pStyle w:val="Heading2"/>
      </w:pPr>
      <w:r>
        <w:rPr>
          <w:rFonts w:ascii="Calibri" w:cs="Calibri" w:eastAsia="Calibri" w:hAnsi="Calibri"/>
          <w:color w:val="201E1D"/>
          <w:sz w:val="22"/>
          <w:szCs w:val="22"/>
        </w:rPr>
        <w:t xml:space="preserve">Route 6: Oman - Oman two-year work visa for a professional post, sponsored by the employer</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This is a general employer-sponsored work visa route, separate from the education-specific teaching route above. The record available does not detail specific field, salary, or language requirements, so it is best treated as a broader option worth checking directly, alongside your teaching-focused search, if a non-teaching professional post in Oman comes up.</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Employer-sponsored work visa, following a familiar model similar to the other Gulf routes in this report.</w:t>
      </w:r>
    </w:p>
    <w:p>
      <w:pPr>
        <w:pStyle w:val="ListParagraph"/>
        <w:numPr>
          <w:ilvl w:val="0"/>
          <w:numId w:val="2"/>
        </w:numPr>
        <w:spacing w:after="20" w:before="20"/>
      </w:pPr>
      <w:r>
        <w:rPr>
          <w:rFonts w:ascii="Calibri" w:cs="Calibri" w:eastAsia="Calibri" w:hAnsi="Calibri"/>
          <w:color w:val="201E1D"/>
          <w:sz w:val="20"/>
          <w:szCs w:val="20"/>
        </w:rPr>
        <w:t xml:space="preserve">Two-year visa term.</w:t>
      </w:r>
    </w:p>
    <w:p>
      <w:pPr>
        <w:pStyle w:val="ListParagraph"/>
        <w:numPr>
          <w:ilvl w:val="0"/>
          <w:numId w:val="2"/>
        </w:numPr>
        <w:spacing w:after="20" w:before="20"/>
      </w:pPr>
      <w:r>
        <w:rPr>
          <w:rFonts w:ascii="Calibri" w:cs="Calibri" w:eastAsia="Calibri" w:hAnsi="Calibri"/>
          <w:color w:val="201E1D"/>
          <w:sz w:val="20"/>
          <w:szCs w:val="20"/>
        </w:rPr>
        <w:t xml:space="preserve">Complements the education-focused Oman teaching route above by covering other kinds of professional posts.</w:t>
      </w:r>
    </w:p>
    <w:p>
      <w:pPr>
        <w:pStyle w:val="ListParagraph"/>
        <w:numPr>
          <w:ilvl w:val="0"/>
          <w:numId w:val="2"/>
        </w:numPr>
        <w:spacing w:after="20" w:before="20"/>
      </w:pPr>
      <w:r>
        <w:rPr>
          <w:rFonts w:ascii="Calibri" w:cs="Calibri" w:eastAsia="Calibri" w:hAnsi="Calibri"/>
          <w:color w:val="201E1D"/>
          <w:sz w:val="20"/>
          <w:szCs w:val="20"/>
        </w:rPr>
        <w:t xml:space="preserve">Straightforward sponsorship process once a specific offer is in hand.</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The record available does not list specific field, salary, or language requirements - confirm current criteria directly with the Royal Oman Police (ROP) before relying on this route.</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before budgeting.</w:t>
      </w:r>
    </w:p>
    <w:p>
      <w:pPr>
        <w:pStyle w:val="ListParagraph"/>
        <w:numPr>
          <w:ilvl w:val="0"/>
          <w:numId w:val="2"/>
        </w:numPr>
        <w:spacing w:after="20" w:before="20"/>
      </w:pPr>
      <w:r>
        <w:rPr>
          <w:rFonts w:ascii="Calibri" w:cs="Calibri" w:eastAsia="Calibri" w:hAnsi="Calibri"/>
          <w:color w:val="201E1D"/>
          <w:sz w:val="20"/>
          <w:szCs w:val="20"/>
        </w:rPr>
        <w:t xml:space="preserve">This route requires a specific employer job offer; it is not something to apply for without one.</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Not detailed in the record available - verify current eligibility criteria directly with the Royal Oman Police (ROP). In general, an employer sponsors the standard work visa process.</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Royal Oman Police (ROP).</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timeline varies by employer and role.</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Since the record does not list the specific field, salary, or language thresholds for this route, the real gating step is securing a written job offer from an Omani employer and then confirming the visa's current criteria directly with the Royal Oman Police (ROP). Worth checking in parallel with the teaching-specific Oman route above.</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Search for professional-level openings in Oman aligned with your education background.</w:t>
      </w:r>
    </w:p>
    <w:p>
      <w:pPr>
        <w:pStyle w:val="ListParagraph"/>
        <w:numPr>
          <w:ilvl w:val="0"/>
          <w:numId w:val="2"/>
        </w:numPr>
        <w:spacing w:after="20" w:before="20"/>
      </w:pPr>
      <w:r>
        <w:rPr>
          <w:rFonts w:ascii="Calibri" w:cs="Calibri" w:eastAsia="Calibri" w:hAnsi="Calibri"/>
          <w:color w:val="201E1D"/>
          <w:sz w:val="20"/>
          <w:szCs w:val="20"/>
        </w:rPr>
        <w:t xml:space="preserve">Contact the Royal Oman Police (ROP) for current eligibility and cost details.</w:t>
      </w:r>
    </w:p>
    <w:p>
      <w:pPr>
        <w:pStyle w:val="ListParagraph"/>
        <w:numPr>
          <w:ilvl w:val="0"/>
          <w:numId w:val="2"/>
        </w:numPr>
        <w:spacing w:after="20" w:before="20"/>
      </w:pPr>
      <w:r>
        <w:rPr>
          <w:rFonts w:ascii="Calibri" w:cs="Calibri" w:eastAsia="Calibri" w:hAnsi="Calibri"/>
          <w:color w:val="201E1D"/>
          <w:sz w:val="20"/>
          <w:szCs w:val="20"/>
        </w:rPr>
        <w:t xml:space="preserve">Prepare your CV and credentials for employer review.</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fq2ijes-lwv_do5-nfsb9">
        <w:r>
          <w:rPr>
            <w:rFonts w:ascii="Calibri" w:cs="Calibri" w:eastAsia="Calibri" w:hAnsi="Calibri"/>
            <w:color w:val="8C491A"/>
            <w:sz w:val="20"/>
            <w:szCs w:val="20"/>
            <w:u w:val="single"/>
          </w:rPr>
          <w:t xml:space="preserve">https://www.rop.gov.om/english/Visas.aspx</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7: UAE — United Arab Emirates standard work visa, sponsored by an employer</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Employer-sponsored · Varies</w:t>
      </w:r>
    </w:p>
    <w:p>
      <w:pPr>
        <w:keepNext/>
        <w:spacing w:after="0" w:before="200"/>
      </w:pPr>
    </w:p>
    <w:p>
      <w:pPr>
        <w:pStyle w:val="Heading2"/>
      </w:pPr>
      <w:r>
        <w:rPr>
          <w:rFonts w:ascii="Calibri" w:cs="Calibri" w:eastAsia="Calibri" w:hAnsi="Calibri"/>
          <w:color w:val="201E1D"/>
          <w:sz w:val="22"/>
          <w:szCs w:val="22"/>
        </w:rPr>
        <w:t xml:space="preserve">Route 7: UAE - United Arab Emirates (UAE) standard work visa, sponsored by an employer</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Your Bachelor of Science with Education exceeds this route's stated minimum education level of vocational training or above. This is a general employer-sponsored visa, separate from the education-specific teaching route above, and worth knowing about for other kinds of employer-sponsored roles in the UAE.</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Bachelor's degree exceeds the stated minimum education requirement (vocational level or above).</w:t>
      </w:r>
    </w:p>
    <w:p>
      <w:pPr>
        <w:pStyle w:val="ListParagraph"/>
        <w:numPr>
          <w:ilvl w:val="0"/>
          <w:numId w:val="2"/>
        </w:numPr>
        <w:spacing w:after="20" w:before="20"/>
      </w:pPr>
      <w:r>
        <w:rPr>
          <w:rFonts w:ascii="Calibri" w:cs="Calibri" w:eastAsia="Calibri" w:hAnsi="Calibri"/>
          <w:color w:val="201E1D"/>
          <w:sz w:val="20"/>
          <w:szCs w:val="20"/>
        </w:rPr>
        <w:t xml:space="preserve">Employer-sponsored work permit and residence visa are standard, well-documented processes via official UAE portals.</w:t>
      </w:r>
    </w:p>
    <w:p>
      <w:pPr>
        <w:pStyle w:val="ListParagraph"/>
        <w:numPr>
          <w:ilvl w:val="0"/>
          <w:numId w:val="2"/>
        </w:numPr>
        <w:spacing w:after="20" w:before="20"/>
      </w:pPr>
      <w:r>
        <w:rPr>
          <w:rFonts w:ascii="Calibri" w:cs="Calibri" w:eastAsia="Calibri" w:hAnsi="Calibri"/>
          <w:color w:val="201E1D"/>
          <w:sz w:val="20"/>
          <w:szCs w:val="20"/>
        </w:rPr>
        <w:t xml:space="preserve">Wide-ranging UAE job market offers roles beyond school teaching in the education field.</w:t>
      </w:r>
    </w:p>
    <w:p>
      <w:pPr>
        <w:pStyle w:val="ListParagraph"/>
        <w:numPr>
          <w:ilvl w:val="0"/>
          <w:numId w:val="2"/>
        </w:numPr>
        <w:spacing w:after="20" w:before="20"/>
      </w:pPr>
      <w:r>
        <w:rPr>
          <w:rFonts w:ascii="Calibri" w:cs="Calibri" w:eastAsia="Calibri" w:hAnsi="Calibri"/>
          <w:color w:val="201E1D"/>
          <w:sz w:val="20"/>
          <w:szCs w:val="20"/>
        </w:rPr>
        <w:t xml:space="preserve">Complements the UAE international-school teaching route above for a broader job search.</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Specific requirements such as salary threshold and occupation skill-level classification are not detailed in the record available - check the UAE's skill-levels classification directly.</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 with the official sources.</w:t>
      </w:r>
    </w:p>
    <w:p>
      <w:pPr>
        <w:pStyle w:val="ListParagraph"/>
        <w:numPr>
          <w:ilvl w:val="0"/>
          <w:numId w:val="2"/>
        </w:numPr>
        <w:spacing w:after="20" w:before="20"/>
      </w:pPr>
      <w:r>
        <w:rPr>
          <w:rFonts w:ascii="Calibri" w:cs="Calibri" w:eastAsia="Calibri" w:hAnsi="Calibri"/>
          <w:color w:val="201E1D"/>
          <w:sz w:val="20"/>
          <w:szCs w:val="20"/>
        </w:rPr>
        <w:t xml:space="preserve">A specific employer job offer is required to sponsor the permit.</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An employer job offer and the standard work permit process; a bachelor's degree, which exceeds the stated vocational-level minimum. Verify current salary and skill-level specifics via the official links.</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official sources below.</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timeline varies by employer and role.</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The real gating step is securing a job offer from a UAE employer whose role meets the classified skill level required for a standard work permit. Since your bachelor's degree already exceeds the stated minimum, the practical focus is finding that specific offer, whether in education-adjacent work or elsewhere, and confirming salary and skill-level classification directly with UAE authorities.</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Review the UAE's job skill-levels classification to see which roles qualify.</w:t>
      </w:r>
    </w:p>
    <w:p>
      <w:pPr>
        <w:pStyle w:val="ListParagraph"/>
        <w:numPr>
          <w:ilvl w:val="0"/>
          <w:numId w:val="2"/>
        </w:numPr>
        <w:spacing w:after="20" w:before="20"/>
      </w:pPr>
      <w:r>
        <w:rPr>
          <w:rFonts w:ascii="Calibri" w:cs="Calibri" w:eastAsia="Calibri" w:hAnsi="Calibri"/>
          <w:color w:val="201E1D"/>
          <w:sz w:val="20"/>
          <w:szCs w:val="20"/>
        </w:rPr>
        <w:t xml:space="preserve">Search for employer-sponsored opportunities beyond school teaching.</w:t>
      </w:r>
    </w:p>
    <w:p>
      <w:pPr>
        <w:pStyle w:val="ListParagraph"/>
        <w:numPr>
          <w:ilvl w:val="0"/>
          <w:numId w:val="2"/>
        </w:numPr>
        <w:spacing w:after="20" w:before="20"/>
      </w:pPr>
      <w:r>
        <w:rPr>
          <w:rFonts w:ascii="Calibri" w:cs="Calibri" w:eastAsia="Calibri" w:hAnsi="Calibri"/>
          <w:color w:val="201E1D"/>
          <w:sz w:val="20"/>
          <w:szCs w:val="20"/>
        </w:rPr>
        <w:t xml:space="preserve">Prepare degree documents for verification.</w:t>
      </w:r>
    </w:p>
    <w:p>
      <w:pPr>
        <w:pStyle w:val="ListParagraph"/>
        <w:numPr>
          <w:ilvl w:val="0"/>
          <w:numId w:val="2"/>
        </w:numPr>
        <w:spacing w:after="20" w:before="20"/>
      </w:pPr>
      <w:r>
        <w:rPr>
          <w:rFonts w:ascii="Calibri" w:cs="Calibri" w:eastAsia="Calibri" w:hAnsi="Calibri"/>
          <w:color w:val="201E1D"/>
          <w:sz w:val="20"/>
          <w:szCs w:val="20"/>
        </w:rPr>
        <w:t xml:space="preserve">Confirm visa cost and timeline directly via the official links.</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azvigdkip7r9cm9k12zi">
        <w:r>
          <w:rPr>
            <w:rFonts w:ascii="Calibri" w:cs="Calibri" w:eastAsia="Calibri" w:hAnsi="Calibri"/>
            <w:color w:val="8C491A"/>
            <w:sz w:val="20"/>
            <w:szCs w:val="20"/>
            <w:u w:val="single"/>
          </w:rPr>
          <w:t xml:space="preserve">https://u.ae/en/information-and-services/jobs/employment-in-the-private-sector/job-offers-and-work-permits-and-contracts/work-permits</w:t>
        </w:r>
      </w:hyperlink>
    </w:p>
    <w:p>
      <w:pPr>
        <w:pStyle w:val="ListParagraph"/>
        <w:numPr>
          <w:ilvl w:val="0"/>
          <w:numId w:val="2"/>
        </w:numPr>
        <w:spacing w:after="20" w:before="20"/>
      </w:pPr>
      <w:hyperlink w:history="1" r:id="rId64jgly-e39fjzk40ryca2">
        <w:r>
          <w:rPr>
            <w:rFonts w:ascii="Calibri" w:cs="Calibri" w:eastAsia="Calibri" w:hAnsi="Calibri"/>
            <w:color w:val="8C491A"/>
            <w:sz w:val="20"/>
            <w:szCs w:val="20"/>
            <w:u w:val="single"/>
          </w:rPr>
          <w:t xml:space="preserve">https://u.ae/en/information-and-services/visa-and-emirates-id/residence-visas/residence-visa-for-working-in-the-uae</w:t>
        </w:r>
      </w:hyperlink>
    </w:p>
    <w:p>
      <w:pPr>
        <w:pStyle w:val="ListParagraph"/>
        <w:numPr>
          <w:ilvl w:val="0"/>
          <w:numId w:val="2"/>
        </w:numPr>
        <w:spacing w:after="20" w:before="20"/>
      </w:pPr>
      <w:hyperlink w:history="1" r:id="rId1ua-17ozb3zg8tyvrvmni">
        <w:r>
          <w:rPr>
            <w:rFonts w:ascii="Calibri" w:cs="Calibri" w:eastAsia="Calibri" w:hAnsi="Calibri"/>
            <w:color w:val="8C491A"/>
            <w:sz w:val="20"/>
            <w:szCs w:val="20"/>
            <w:u w:val="single"/>
          </w:rPr>
          <w:t xml:space="preserve">https://u.ae/en/information-and-services/jobs/employment-in-the-private-sector/skill-levels-of-jobs-in-the-uae</w:t>
        </w:r>
      </w:hyperlink>
    </w:p>
    <w:p>
      <w:pPr>
        <w:keepNext/>
        <w:spacing w:after="0" w:before="200"/>
      </w:pPr>
    </w:p>
    <w:p>
      <w:pPr>
        <w:keepNext/>
        <w:pBdr>
          <w:top w:val="single" w:color="3D472B" w:sz="12" w:space="4"/>
          <w:left w:val="single" w:color="3D472B" w:sz="12" w:space="10"/>
          <w:right w:val="single" w:color="3D472B" w:sz="12" w:space="10"/>
        </w:pBdr>
        <w:shd w:fill="3D472B" w:val="clear"/>
        <w:spacing w:after="0" w:before="0" w:line="340"/>
      </w:pPr>
      <w:r>
        <w:rPr>
          <w:rFonts w:ascii="Georgia" w:cs="Georgia" w:eastAsia="Georgia" w:hAnsi="Georgia"/>
          <w:b/>
          <w:bCs/>
          <w:color w:val="F5EAD8"/>
          <w:sz w:val="32"/>
          <w:szCs w:val="32"/>
        </w:rPr>
        <w:t xml:space="preserve">Route 8: UAE — United Arab Emirates 10-year golden residence permit for senior professionals</w:t>
      </w:r>
    </w:p>
    <w:p>
      <w:pPr>
        <w:keepNext/>
        <w:pBdr>
          <w:bottom w:val="single" w:color="3D472B" w:sz="12" w:space="4"/>
          <w:left w:val="single" w:color="3D472B" w:sz="12" w:space="10"/>
          <w:right w:val="single" w:color="3D472B" w:sz="12" w:space="10"/>
        </w:pBdr>
        <w:shd w:fill="3D472B" w:val="clear"/>
        <w:spacing w:after="0" w:before="0" w:line="300"/>
      </w:pPr>
      <w:r>
        <w:rPr>
          <w:rFonts w:ascii="Calibri" w:cs="Calibri" w:eastAsia="Calibri" w:hAnsi="Calibri"/>
          <w:i/>
          <w:iCs/>
          <w:color w:val="E1EECC"/>
          <w:sz w:val="18"/>
          <w:szCs w:val="18"/>
        </w:rPr>
        <w:t xml:space="preserve">Employer-sponsored · Varies</w:t>
      </w:r>
    </w:p>
    <w:p>
      <w:pPr>
        <w:keepNext/>
        <w:spacing w:after="0" w:before="200"/>
      </w:pPr>
    </w:p>
    <w:p>
      <w:pPr>
        <w:pStyle w:val="Heading2"/>
      </w:pPr>
      <w:r>
        <w:rPr>
          <w:rFonts w:ascii="Calibri" w:cs="Calibri" w:eastAsia="Calibri" w:hAnsi="Calibri"/>
          <w:color w:val="201E1D"/>
          <w:sz w:val="22"/>
          <w:szCs w:val="22"/>
        </w:rPr>
        <w:t xml:space="preserve">Route 8: UAE - United Arab Emirates (UAE) 10-year golden residence permit for senior professionals</w:t>
      </w:r>
    </w:p>
    <w:p>
      <w:pPr>
        <w:pStyle w:val="Heading2"/>
      </w:pPr>
      <w:r>
        <w:rPr>
          <w:rFonts w:ascii="Calibri" w:cs="Calibri" w:eastAsia="Calibri" w:hAnsi="Calibri"/>
          <w:color w:val="201E1D"/>
          <w:sz w:val="22"/>
          <w:szCs w:val="22"/>
        </w:rPr>
        <w:t xml:space="preserve">Why It Fits This Profile</w:t>
      </w:r>
    </w:p>
    <w:p>
      <w:pPr>
        <w:spacing w:after="80" w:before="40" w:line="276"/>
      </w:pPr>
      <w:r>
        <w:rPr>
          <w:rFonts w:ascii="Calibri" w:cs="Calibri" w:eastAsia="Calibri" w:hAnsi="Calibri"/>
          <w:color w:val="201E1D"/>
          <w:sz w:val="20"/>
          <w:szCs w:val="20"/>
        </w:rPr>
        <w:t xml:space="preserve">Your Bachelor of Science with Education meets this route's stated minimum education requirement. This route offers a notably longer residence term than the standard employer-sponsored visas above, and is worth checking once a concrete job offer and salary are in place, since the record available does not detail the specific senior-professional criteria.</w:t>
      </w:r>
    </w:p>
    <w:p>
      <w:pPr>
        <w:pStyle w:val="Heading2"/>
      </w:pPr>
      <w:r>
        <w:rPr>
          <w:rFonts w:ascii="Calibri" w:cs="Calibri" w:eastAsia="Calibri" w:hAnsi="Calibri"/>
          <w:color w:val="201E1D"/>
          <w:sz w:val="22"/>
          <w:szCs w:val="22"/>
        </w:rPr>
        <w:t xml:space="preserve">Benefits</w:t>
      </w:r>
    </w:p>
    <w:p>
      <w:pPr>
        <w:pStyle w:val="ListParagraph"/>
        <w:numPr>
          <w:ilvl w:val="0"/>
          <w:numId w:val="2"/>
        </w:numPr>
        <w:spacing w:after="20" w:before="20"/>
      </w:pPr>
      <w:r>
        <w:rPr>
          <w:rFonts w:ascii="Calibri" w:cs="Calibri" w:eastAsia="Calibri" w:hAnsi="Calibri"/>
          <w:color w:val="201E1D"/>
          <w:sz w:val="20"/>
          <w:szCs w:val="20"/>
        </w:rPr>
        <w:t xml:space="preserve">Bachelor's degree meets the stated minimum education requirement.</w:t>
      </w:r>
    </w:p>
    <w:p>
      <w:pPr>
        <w:pStyle w:val="ListParagraph"/>
        <w:numPr>
          <w:ilvl w:val="0"/>
          <w:numId w:val="2"/>
        </w:numPr>
        <w:spacing w:after="20" w:before="20"/>
      </w:pPr>
      <w:r>
        <w:rPr>
          <w:rFonts w:ascii="Calibri" w:cs="Calibri" w:eastAsia="Calibri" w:hAnsi="Calibri"/>
          <w:color w:val="201E1D"/>
          <w:sz w:val="20"/>
          <w:szCs w:val="20"/>
        </w:rPr>
        <w:t xml:space="preserve">Ten-year renewable residence, longer than the standard work-visa routes above.</w:t>
      </w:r>
    </w:p>
    <w:p>
      <w:pPr>
        <w:pStyle w:val="ListParagraph"/>
        <w:numPr>
          <w:ilvl w:val="0"/>
          <w:numId w:val="2"/>
        </w:numPr>
        <w:spacing w:after="20" w:before="20"/>
      </w:pPr>
      <w:r>
        <w:rPr>
          <w:rFonts w:ascii="Calibri" w:cs="Calibri" w:eastAsia="Calibri" w:hAnsi="Calibri"/>
          <w:color w:val="201E1D"/>
          <w:sz w:val="20"/>
          <w:szCs w:val="20"/>
        </w:rPr>
        <w:t xml:space="preserve">Offers a longer-term UAE residence option to weigh alongside the shorter-term routes in this report.</w:t>
      </w:r>
    </w:p>
    <w:p>
      <w:pPr>
        <w:pStyle w:val="Heading2"/>
      </w:pPr>
      <w:r>
        <w:rPr>
          <w:rFonts w:ascii="Calibri" w:cs="Calibri" w:eastAsia="Calibri" w:hAnsi="Calibri"/>
          <w:color w:val="201E1D"/>
          <w:sz w:val="22"/>
          <w:szCs w:val="22"/>
        </w:rPr>
        <w:t xml:space="preserve">Challenges</w:t>
      </w:r>
    </w:p>
    <w:p>
      <w:pPr>
        <w:pStyle w:val="ListParagraph"/>
        <w:numPr>
          <w:ilvl w:val="0"/>
          <w:numId w:val="2"/>
        </w:numPr>
        <w:spacing w:after="20" w:before="20"/>
      </w:pPr>
      <w:r>
        <w:rPr>
          <w:rFonts w:ascii="Calibri" w:cs="Calibri" w:eastAsia="Calibri" w:hAnsi="Calibri"/>
          <w:color w:val="201E1D"/>
          <w:sz w:val="20"/>
          <w:szCs w:val="20"/>
        </w:rPr>
        <w:t xml:space="preserve">Detailed eligibility criteria, such as salary threshold or specific professional categories, are not included in the record available - verify directly with the official golden visa portal.</w:t>
      </w:r>
    </w:p>
    <w:p>
      <w:pPr>
        <w:pStyle w:val="ListParagraph"/>
        <w:numPr>
          <w:ilvl w:val="0"/>
          <w:numId w:val="2"/>
        </w:numPr>
        <w:spacing w:after="20" w:before="20"/>
      </w:pPr>
      <w:r>
        <w:rPr>
          <w:rFonts w:ascii="Calibri" w:cs="Calibri" w:eastAsia="Calibri" w:hAnsi="Calibri"/>
          <w:color w:val="201E1D"/>
          <w:sz w:val="20"/>
          <w:szCs w:val="20"/>
        </w:rPr>
        <w:t xml:space="preserve">Cost and processing time are not stated in the record available - verify directly.</w:t>
      </w:r>
    </w:p>
    <w:p>
      <w:pPr>
        <w:pStyle w:val="ListParagraph"/>
        <w:numPr>
          <w:ilvl w:val="0"/>
          <w:numId w:val="2"/>
        </w:numPr>
        <w:spacing w:after="20" w:before="20"/>
      </w:pPr>
      <w:r>
        <w:rPr>
          <w:rFonts w:ascii="Calibri" w:cs="Calibri" w:eastAsia="Calibri" w:hAnsi="Calibri"/>
          <w:color w:val="201E1D"/>
          <w:sz w:val="20"/>
          <w:szCs w:val="20"/>
        </w:rPr>
        <w:t xml:space="preserve">This route is generally aimed at senior or highly specialised professionals - confirm whether a specific prospective role and salary would qualify before applying.</w:t>
      </w:r>
    </w:p>
    <w:p>
      <w:pPr>
        <w:pStyle w:val="Heading2"/>
      </w:pPr>
      <w:r>
        <w:rPr>
          <w:rFonts w:ascii="Calibri" w:cs="Calibri" w:eastAsia="Calibri" w:hAnsi="Calibri"/>
          <w:color w:val="201E1D"/>
          <w:sz w:val="22"/>
          <w:szCs w:val="22"/>
        </w:rPr>
        <w:t xml:space="preserve">What Is Required</w:t>
      </w:r>
    </w:p>
    <w:p>
      <w:pPr>
        <w:spacing w:after="80" w:before="40" w:line="276"/>
      </w:pPr>
      <w:r>
        <w:rPr>
          <w:rFonts w:ascii="Calibri" w:cs="Calibri" w:eastAsia="Calibri" w:hAnsi="Calibri"/>
          <w:color w:val="201E1D"/>
          <w:sz w:val="20"/>
          <w:szCs w:val="20"/>
        </w:rPr>
        <w:t xml:space="preserve">A bachelor's degree (met); further criteria such as salary and occupation category are not detailed in the record available - verify directly with the official source.</w:t>
      </w:r>
    </w:p>
    <w:p>
      <w:pPr>
        <w:pStyle w:val="Heading2"/>
      </w:pPr>
      <w:r>
        <w:rPr>
          <w:rFonts w:ascii="Calibri" w:cs="Calibri" w:eastAsia="Calibri" w:hAnsi="Calibri"/>
          <w:color w:val="201E1D"/>
          <w:sz w:val="22"/>
          <w:szCs w:val="22"/>
        </w:rPr>
        <w:t xml:space="preserve">Estimated Cost</w:t>
      </w:r>
    </w:p>
    <w:p>
      <w:pPr>
        <w:spacing w:after="80" w:before="40" w:line="276"/>
      </w:pPr>
      <w:r>
        <w:rPr>
          <w:rFonts w:ascii="Calibri" w:cs="Calibri" w:eastAsia="Calibri" w:hAnsi="Calibri"/>
          <w:color w:val="201E1D"/>
          <w:sz w:val="20"/>
          <w:szCs w:val="20"/>
        </w:rPr>
        <w:t xml:space="preserve">Not stated in the record available - verify directly with the official sources below.</w:t>
      </w:r>
    </w:p>
    <w:p>
      <w:pPr>
        <w:pStyle w:val="Heading2"/>
      </w:pPr>
      <w:r>
        <w:rPr>
          <w:rFonts w:ascii="Calibri" w:cs="Calibri" w:eastAsia="Calibri" w:hAnsi="Calibri"/>
          <w:color w:val="201E1D"/>
          <w:sz w:val="22"/>
          <w:szCs w:val="22"/>
        </w:rPr>
        <w:t xml:space="preserve">Estimated Timeline</w:t>
      </w:r>
    </w:p>
    <w:p>
      <w:pPr>
        <w:spacing w:after="80" w:before="40" w:line="276"/>
      </w:pPr>
      <w:r>
        <w:rPr>
          <w:rFonts w:ascii="Calibri" w:cs="Calibri" w:eastAsia="Calibri" w:hAnsi="Calibri"/>
          <w:color w:val="201E1D"/>
          <w:sz w:val="20"/>
          <w:szCs w:val="20"/>
        </w:rPr>
        <w:t xml:space="preserve">Applications are accepted on a rolling basis; timeline varies by case.</w:t>
      </w:r>
    </w:p>
    <w:p>
      <w:pPr>
        <w:pStyle w:val="Heading2"/>
      </w:pPr>
      <w:r>
        <w:rPr>
          <w:rFonts w:ascii="Calibri" w:cs="Calibri" w:eastAsia="Calibri" w:hAnsi="Calibri"/>
          <w:color w:val="201E1D"/>
          <w:sz w:val="22"/>
          <w:szCs w:val="22"/>
        </w:rPr>
        <w:t xml:space="preserve">Success Likelihood</w:t>
      </w:r>
    </w:p>
    <w:p>
      <w:pPr>
        <w:spacing w:after="80" w:before="40" w:line="276"/>
      </w:pPr>
      <w:r>
        <w:rPr>
          <w:rFonts w:ascii="Calibri" w:cs="Calibri" w:eastAsia="Calibri" w:hAnsi="Calibri"/>
          <w:color w:val="201E1D"/>
          <w:sz w:val="20"/>
          <w:szCs w:val="20"/>
        </w:rPr>
        <w:t xml:space="preserve">Since the record does not specify the salary or occupation thresholds for "senior professional" classification, the real gating step is confirming with the UAE's ICP directly whether a specific role and salary level would qualify. This is worth checking once you have a firm UAE job offer, alongside the standard work-visa route above.</w:t>
      </w:r>
    </w:p>
    <w:p>
      <w:pPr>
        <w:pStyle w:val="Heading2"/>
      </w:pPr>
      <w:r>
        <w:rPr>
          <w:rFonts w:ascii="Calibri" w:cs="Calibri" w:eastAsia="Calibri" w:hAnsi="Calibri"/>
          <w:color w:val="201E1D"/>
          <w:sz w:val="22"/>
          <w:szCs w:val="22"/>
        </w:rPr>
        <w:t xml:space="preserve">Steps to Prepare</w:t>
      </w:r>
    </w:p>
    <w:p>
      <w:pPr>
        <w:pStyle w:val="ListParagraph"/>
        <w:numPr>
          <w:ilvl w:val="0"/>
          <w:numId w:val="2"/>
        </w:numPr>
        <w:spacing w:after="20" w:before="20"/>
      </w:pPr>
      <w:r>
        <w:rPr>
          <w:rFonts w:ascii="Calibri" w:cs="Calibri" w:eastAsia="Calibri" w:hAnsi="Calibri"/>
          <w:color w:val="201E1D"/>
          <w:sz w:val="20"/>
          <w:szCs w:val="20"/>
        </w:rPr>
        <w:t xml:space="preserve">Review the official golden visa eligibility criteria for senior professionals.</w:t>
      </w:r>
    </w:p>
    <w:p>
      <w:pPr>
        <w:pStyle w:val="ListParagraph"/>
        <w:numPr>
          <w:ilvl w:val="0"/>
          <w:numId w:val="2"/>
        </w:numPr>
        <w:spacing w:after="20" w:before="20"/>
      </w:pPr>
      <w:r>
        <w:rPr>
          <w:rFonts w:ascii="Calibri" w:cs="Calibri" w:eastAsia="Calibri" w:hAnsi="Calibri"/>
          <w:color w:val="201E1D"/>
          <w:sz w:val="20"/>
          <w:szCs w:val="20"/>
        </w:rPr>
        <w:t xml:space="preserve">Secure a UAE job offer to have a concrete salary and role to check against the criteria.</w:t>
      </w:r>
    </w:p>
    <w:p>
      <w:pPr>
        <w:pStyle w:val="ListParagraph"/>
        <w:numPr>
          <w:ilvl w:val="0"/>
          <w:numId w:val="2"/>
        </w:numPr>
        <w:spacing w:after="20" w:before="20"/>
      </w:pPr>
      <w:r>
        <w:rPr>
          <w:rFonts w:ascii="Calibri" w:cs="Calibri" w:eastAsia="Calibri" w:hAnsi="Calibri"/>
          <w:color w:val="201E1D"/>
          <w:sz w:val="20"/>
          <w:szCs w:val="20"/>
        </w:rPr>
        <w:t xml:space="preserve">Prepare degree and professional documentation.</w:t>
      </w:r>
    </w:p>
    <w:p>
      <w:pPr>
        <w:pStyle w:val="ListParagraph"/>
        <w:numPr>
          <w:ilvl w:val="0"/>
          <w:numId w:val="2"/>
        </w:numPr>
        <w:spacing w:after="20" w:before="20"/>
      </w:pPr>
      <w:r>
        <w:rPr>
          <w:rFonts w:ascii="Calibri" w:cs="Calibri" w:eastAsia="Calibri" w:hAnsi="Calibri"/>
          <w:color w:val="201E1D"/>
          <w:sz w:val="20"/>
          <w:szCs w:val="20"/>
        </w:rPr>
        <w:t xml:space="preserve">Contact the ICP directly for confirmation of eligibility specifics.</w:t>
      </w:r>
    </w:p>
    <w:p>
      <w:pPr>
        <w:pStyle w:val="Heading2"/>
      </w:pPr>
      <w:r>
        <w:rPr>
          <w:rFonts w:ascii="Calibri" w:cs="Calibri" w:eastAsia="Calibri" w:hAnsi="Calibri"/>
          <w:color w:val="201E1D"/>
          <w:sz w:val="22"/>
          <w:szCs w:val="22"/>
        </w:rPr>
        <w:t xml:space="preserve">Useful Links</w:t>
      </w:r>
    </w:p>
    <w:p>
      <w:pPr>
        <w:pStyle w:val="ListParagraph"/>
        <w:numPr>
          <w:ilvl w:val="0"/>
          <w:numId w:val="2"/>
        </w:numPr>
        <w:spacing w:after="20" w:before="20"/>
      </w:pPr>
      <w:hyperlink w:history="1" r:id="rIdkc8kczjp9_ywmywdprnmd">
        <w:r>
          <w:rPr>
            <w:rFonts w:ascii="Calibri" w:cs="Calibri" w:eastAsia="Calibri" w:hAnsi="Calibri"/>
            <w:color w:val="8C491A"/>
            <w:sz w:val="20"/>
            <w:szCs w:val="20"/>
            <w:u w:val="single"/>
          </w:rPr>
          <w:t xml:space="preserve">https://u.ae/en/information-and-services/visa-and-emirates-id/residence-visas/golden-visa</w:t>
        </w:r>
      </w:hyperlink>
    </w:p>
    <w:p>
      <w:pPr>
        <w:pStyle w:val="ListParagraph"/>
        <w:numPr>
          <w:ilvl w:val="0"/>
          <w:numId w:val="2"/>
        </w:numPr>
        <w:spacing w:after="20" w:before="20"/>
      </w:pPr>
      <w:hyperlink w:history="1" r:id="rIdwhdikp-hrvwofgeaqwgq5">
        <w:r>
          <w:rPr>
            <w:rFonts w:ascii="Calibri" w:cs="Calibri" w:eastAsia="Calibri" w:hAnsi="Calibri"/>
            <w:color w:val="8C491A"/>
            <w:sz w:val="20"/>
            <w:szCs w:val="20"/>
            <w:u w:val="single"/>
          </w:rPr>
          <w:t xml:space="preserve">https://icp.gov.ae/en/services/golden-residency/</w:t>
        </w:r>
      </w:hyperlink>
    </w:p>
    <w:p>
      <w:pPr>
        <w:pBdr>
          <w:bottom w:val="single" w:color="DCD3C4" w:sz="4" w:space="1"/>
        </w:pBdr>
        <w:spacing w:after="120" w:before="120"/>
      </w:pPr>
    </w:p>
    <w:p>
      <w:pPr>
        <w:spacing w:after="80" w:before="40" w:line="276"/>
      </w:pPr>
      <w:r>
        <w:rPr>
          <w:rFonts w:ascii="Calibri" w:cs="Calibri" w:eastAsia="Calibri" w:hAnsi="Calibri"/>
          <w:color w:val="201E1D"/>
          <w:sz w:val="20"/>
          <w:szCs w:val="20"/>
        </w:rPr>
        <w:t xml:space="preserve">Information current as of 2026-08-08.</w:t>
      </w:r>
    </w:p>
    <w:p>
      <w:pPr>
        <w:pStyle w:val="Heading2"/>
      </w:pPr>
      <w:r>
        <w:rPr>
          <w:rFonts w:ascii="Calibri" w:cs="Calibri" w:eastAsia="Calibri" w:hAnsi="Calibri"/>
          <w:color w:val="201E1D"/>
          <w:sz w:val="22"/>
          <w:szCs w:val="22"/>
        </w:rPr>
        <w:t xml:space="preserve">Recommended Order of Action</w:t>
      </w:r>
    </w:p>
    <w:p>
      <w:pPr>
        <w:spacing w:after="80" w:before="40" w:line="276"/>
      </w:pPr>
      <w:r>
        <w:rPr>
          <w:rFonts w:ascii="Calibri" w:cs="Calibri" w:eastAsia="Calibri" w:hAnsi="Calibri"/>
          <w:color w:val="201E1D"/>
          <w:sz w:val="20"/>
          <w:szCs w:val="20"/>
        </w:rPr>
        <w:t xml:space="preserve">Start with Route 3 (Bahrain), Route 4 (UAE teaching), and Route 5 (Oman teaching) in parallel, since these are the fastest and most directly matched to your qualifications and experience - register with recruitment platforms and apply to specific school vacancies now. Alongside this, check your score on the Austria points calculator for Route 1 and confirm whether your teaching occupation appears on Ireland's Critical Skills Occupations List for Route 2, since both depend on a preliminary check before you invest further effort. Once you have any firm UAE job offer, it is worth checking Route 7 and Route 8 for how they compare with Route 4. Route 6 is worth a look only if a specific non-teaching offer in Oman comes up.</w:t>
      </w:r>
    </w:p>
    <w:p>
      <w:pPr>
        <w:pStyle w:val="Heading2"/>
      </w:pPr>
      <w:r>
        <w:rPr>
          <w:rFonts w:ascii="Calibri" w:cs="Calibri" w:eastAsia="Calibri" w:hAnsi="Calibri"/>
          <w:color w:val="201E1D"/>
          <w:sz w:val="22"/>
          <w:szCs w:val="22"/>
        </w:rPr>
        <w:t xml:space="preserve">What Could Open Up</w:t>
      </w:r>
    </w:p>
    <w:p>
      <w:pPr>
        <w:spacing w:after="80" w:before="40" w:line="276"/>
      </w:pPr>
      <w:r>
        <w:rPr>
          <w:rFonts w:ascii="Calibri" w:cs="Calibri" w:eastAsia="Calibri" w:hAnsi="Calibri"/>
          <w:color w:val="201E1D"/>
          <w:sz w:val="20"/>
          <w:szCs w:val="20"/>
        </w:rPr>
        <w:t xml:space="preserve">Ireland also offers a self-funded study route - a degree programme with up to two years of post-study work permission for master's-level graduates - which is a different kind of pathway (study rather than direct work) worth knowing about alongside the employer-sponsored Critical Skills route already covered above.</w:t>
      </w:r>
    </w:p>
    <w:p>
      <w:pPr>
        <w:spacing w:after="80" w:before="40" w:line="276"/>
      </w:pPr>
      <w:r>
        <w:rPr>
          <w:rFonts w:ascii="Calibri" w:cs="Calibri" w:eastAsia="Calibri" w:hAnsi="Calibri"/>
          <w:color w:val="201E1D"/>
          <w:sz w:val="20"/>
          <w:szCs w:val="20"/>
        </w:rPr>
        <w:t xml:space="preserve">Beyond the five countries searched here, 52 further options exist across 29 other countries. A wider-scope report can cover those if useful.</w:t>
      </w:r>
    </w:p>
    <w:p>
      <w:pPr>
        <w:spacing w:after="80" w:before="40" w:line="276"/>
      </w:pPr>
      <w:r>
        <w:rPr>
          <w:rFonts w:ascii="Calibri" w:cs="Calibri" w:eastAsia="Calibri" w:hAnsi="Calibri"/>
          <w:color w:val="201E1D"/>
          <w:sz w:val="20"/>
          <w:szCs w:val="20"/>
        </w:rPr>
        <w:t xml:space="preserve">One additional option in this search could not be fully checked yet, because the underlying research is still being completed - if you would like it looked at, that is worth flagging so it can be finished.</w:t>
      </w:r>
    </w:p>
    <w:p>
      <w:pPr>
        <w:pStyle w:val="Heading2"/>
      </w:pPr>
      <w:r>
        <w:rPr>
          <w:rFonts w:ascii="Calibri" w:cs="Calibri" w:eastAsia="Calibri" w:hAnsi="Calibri"/>
          <w:color w:val="201E1D"/>
          <w:sz w:val="22"/>
          <w:szCs w:val="22"/>
        </w:rPr>
        <w:t xml:space="preserve">Included at No Extra Cost</w:t>
      </w:r>
    </w:p>
    <w:p>
      <w:pPr>
        <w:spacing w:after="80" w:before="40" w:line="276"/>
      </w:pPr>
      <w:r>
        <w:rPr>
          <w:rFonts w:ascii="Calibri" w:cs="Calibri" w:eastAsia="Calibri" w:hAnsi="Calibri"/>
          <w:color w:val="201E1D"/>
          <w:sz w:val="20"/>
          <w:szCs w:val="20"/>
        </w:rPr>
        <w:t xml:space="preserve">As a bonus option, not tied to any country you chose, and so not counted against the countries in this report: the DAAD In-Country/In-Region scholarship for Africa offers a funded master's or doctorate at an African university - in your own country or another African country - with tuition paid and a monthly allowance. This is available to you because of your own nationality and residence, free alongside everything else in this report.</w:t>
      </w:r>
    </w:p>
    <w:p>
      <w:pPr>
        <w:pStyle w:val="Heading2"/>
      </w:pPr>
      <w:r>
        <w:rPr>
          <w:rFonts w:ascii="Calibri" w:cs="Calibri" w:eastAsia="Calibri" w:hAnsi="Calibri"/>
          <w:color w:val="201E1D"/>
          <w:sz w:val="22"/>
          <w:szCs w:val="22"/>
        </w:rPr>
        <w:t xml:space="preserve">Detailed Assessment</w:t>
      </w:r>
    </w:p>
    <w:p>
      <w:pPr>
        <w:pStyle w:val="Heading3"/>
      </w:pPr>
      <w:r>
        <w:rPr>
          <w:rFonts w:ascii="Calibri" w:cs="Calibri" w:eastAsia="Calibri" w:hAnsi="Calibri"/>
          <w:color w:val="201E1D"/>
          <w:sz w:val="22"/>
          <w:szCs w:val="22"/>
        </w:rPr>
        <w:t xml:space="preserve">Overall Assessment</w:t>
      </w:r>
    </w:p>
    <w:p>
      <w:pPr>
        <w:spacing w:after="80" w:before="40" w:line="276"/>
      </w:pPr>
      <w:r>
        <w:rPr>
          <w:rFonts w:ascii="Calibri" w:cs="Calibri" w:eastAsia="Calibri" w:hAnsi="Calibri"/>
          <w:color w:val="201E1D"/>
          <w:sz w:val="20"/>
          <w:szCs w:val="20"/>
        </w:rPr>
        <w:t xml:space="preserve">Your profile is best matched to employer-sponsored routes across the Gulf, where your field, teaching license, and subject-specific experience line up directly with what schools and employers look for, alongside two European points-based and skills-list routes that reward your qualifications and language level more broadly. The practical work ahead is largely about securing a specific offer - whether a signed school contract in the Gulf or an employer sponsor in Austria or Ireland - rather than about meeting a fixed set of criteria you do not already have.</w:t>
      </w:r>
    </w:p>
    <w:p>
      <w:pPr>
        <w:pStyle w:val="Heading3"/>
      </w:pPr>
      <w:r>
        <w:rPr>
          <w:rFonts w:ascii="Calibri" w:cs="Calibri" w:eastAsia="Calibri" w:hAnsi="Calibri"/>
          <w:color w:val="201E1D"/>
          <w:sz w:val="22"/>
          <w:szCs w:val="22"/>
        </w:rPr>
        <w:t xml:space="preserve">Financial</w:t>
      </w:r>
    </w:p>
    <w:p>
      <w:pPr>
        <w:spacing w:after="80" w:before="40" w:line="276"/>
      </w:pPr>
      <w:r>
        <w:rPr>
          <w:rFonts w:ascii="Calibri" w:cs="Calibri" w:eastAsia="Calibri" w:hAnsi="Calibri"/>
          <w:color w:val="201E1D"/>
          <w:sz w:val="20"/>
          <w:szCs w:val="20"/>
        </w:rPr>
        <w:t xml:space="preserve">Your moderate savings tier is recognised as sufficient for Austria's job seeker visa, and Gulf teaching posts typically include housing and flights, easing relocation costs further. Where cost figures are not published in the records available, such as Ireland's permit fees or the UAE's standard work visa costs, these should be confirmed directly with the official sources before committing funds.</w:t>
      </w:r>
    </w:p>
    <w:p>
      <w:pPr>
        <w:pStyle w:val="Heading3"/>
      </w:pPr>
      <w:r>
        <w:rPr>
          <w:rFonts w:ascii="Calibri" w:cs="Calibri" w:eastAsia="Calibri" w:hAnsi="Calibri"/>
          <w:color w:val="201E1D"/>
          <w:sz w:val="22"/>
          <w:szCs w:val="22"/>
        </w:rPr>
        <w:t xml:space="preserve">Language</w:t>
      </w:r>
    </w:p>
    <w:p>
      <w:pPr>
        <w:spacing w:after="80" w:before="40" w:line="276"/>
      </w:pPr>
      <w:r>
        <w:rPr>
          <w:rFonts w:ascii="Calibri" w:cs="Calibri" w:eastAsia="Calibri" w:hAnsi="Calibri"/>
          <w:color w:val="201E1D"/>
          <w:sz w:val="20"/>
          <w:szCs w:val="20"/>
        </w:rPr>
        <w:t xml:space="preserve">Your fluent English meets or exceeds the stated language requirement on every route in this report, from Austria's intermediate minimum to the fluent minimum required across Ireland and the Gulf teaching posts. Your Swahili is an additional asset but is not required by any of the routes covered here.</w:t>
      </w:r>
    </w:p>
    <w:p>
      <w:pPr>
        <w:pStyle w:val="Heading2"/>
      </w:pPr>
      <w:r>
        <w:rPr>
          <w:rFonts w:ascii="Calibri" w:cs="Calibri" w:eastAsia="Calibri" w:hAnsi="Calibri"/>
          <w:color w:val="201E1D"/>
          <w:sz w:val="22"/>
          <w:szCs w:val="22"/>
        </w:rPr>
        <w:t xml:space="preserve">Risk Assessment</w:t>
      </w:r>
    </w:p>
    <w:p>
      <w:pPr>
        <w:spacing w:after="80" w:before="40" w:line="276"/>
      </w:pPr>
      <w:r>
        <w:rPr>
          <w:rFonts w:ascii="Calibri" w:cs="Calibri" w:eastAsia="Calibri" w:hAnsi="Calibri"/>
          <w:color w:val="201E1D"/>
          <w:sz w:val="20"/>
          <w:szCs w:val="20"/>
        </w:rPr>
        <w:t xml:space="preserve">Several routes in this report carry facts not yet confirmed in the records available - notably cost and processing time for most Gulf and UAE routes, and the specific salary or occupation criteria for the UAE golden visa - and these should be verified directly with the official sources before making any financial commitment. For the Austria and Ireland routes, confirming how your specific occupation is treated (via the points calculator and the Critical Skills Occupations List) is a useful early check. For the Gulf teaching routes, degree attestation and license verification timelines are worth confirming with the school and the relevant authority as soon as a contract is in sight.</w:t>
      </w:r>
    </w:p>
    <w:p>
      <w:pPr>
        <w:pStyle w:val="Heading2"/>
      </w:pPr>
      <w:r>
        <w:rPr>
          <w:rFonts w:ascii="Calibri" w:cs="Calibri" w:eastAsia="Calibri" w:hAnsi="Calibri"/>
          <w:color w:val="201E1D"/>
          <w:sz w:val="22"/>
          <w:szCs w:val="22"/>
        </w:rPr>
        <w:t xml:space="preserve">Disclaimer</w:t>
      </w:r>
    </w:p>
    <w:p>
      <w:pPr>
        <w:spacing w:after="80" w:before="40" w:line="276"/>
      </w:pPr>
      <w:r>
        <w:rPr>
          <w:rFonts w:ascii="Calibri" w:cs="Calibri" w:eastAsia="Calibri" w:hAnsi="Calibri"/>
          <w:color w:val="201E1D"/>
          <w:sz w:val="20"/>
          <w:szCs w:val="20"/>
        </w:rPr>
        <w:t xml:space="preserve">This report is generated for information purposes only. It is not immigration advice and does not constitute legal advice. Visa requirements, programme eligibility, and application rules change frequently. Always verify current requirements directly with the relevant embassy, immigration authority, or a licensed immigration adviser before making any application or financial commitment.</w:t>
      </w:r>
    </w:p>
    <w:p>
      <w:pPr>
        <w:spacing w:after="80" w:before="40" w:line="276"/>
      </w:pPr>
      <w:r>
        <w:rPr>
          <w:rFonts w:ascii="Calibri" w:cs="Calibri" w:eastAsia="Calibri" w:hAnsi="Calibri"/>
          <w:color w:val="201E1D"/>
          <w:sz w:val="20"/>
          <w:szCs w:val="20"/>
        </w:rPr>
        <w:t xml:space="preserve">Generated on 2026-08-08.</w:t>
      </w:r>
    </w:p>
    <w:sectPr>
      <w:headerReference w:type="default" r:id="rId7"/>
      <w:footerReference w:type="default" r:id="rId8"/>
      <w:footerReference w:type="first" r:id="rId9"/>
      <w:pgSz w:w="12240" w:h="15840" w:orient="portrait"/>
      <w:pgMar w:top="108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3C4" w:sz="4" w:space="6"/>
      </w:pBdr>
      <w:tabs>
        <w:tab w:val="right" w:pos="9360"/>
      </w:tabs>
    </w:pPr>
    <w:r>
      <w:rPr>
        <w:rFonts w:ascii="Calibri" w:cs="Calibri" w:eastAsia="Calibri" w:hAnsi="Calibri"/>
        <w:color w:val="645C50"/>
        <w:sz w:val="16"/>
        <w:szCs w:val="16"/>
      </w:rPr>
      <w:t xml:space="preserve">Diaspire — Powered by Anco2 Innovations (A2I)</w:t>
    </w:r>
    <w:r>
      <w:rPr>
        <w:sz w:val="16"/>
        <w:szCs w:val="16"/>
      </w:rPr>
      <w:t xml:space="preserve">	</w:t>
    </w:r>
    <w:r>
      <w:rPr>
        <w:rFonts w:ascii="Calibri" w:cs="Calibri" w:eastAsia="Calibri" w:hAnsi="Calibri"/>
        <w:color w:val="645C50"/>
        <w:sz w:val="16"/>
        <w:szCs w:val="16"/>
      </w:rPr>
      <w:t xml:space="preserve">Page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3C4" w:sz="4" w:space="6"/>
      </w:pBdr>
      <w:tabs>
        <w:tab w:val="right" w:pos="9360"/>
      </w:tabs>
    </w:pPr>
    <w:r>
      <w:rPr>
        <w:rFonts w:ascii="Calibri" w:cs="Calibri" w:eastAsia="Calibri" w:hAnsi="Calibri"/>
        <w:color w:val="645C50"/>
        <w:sz w:val="16"/>
        <w:szCs w:val="16"/>
      </w:rPr>
      <w:t xml:space="preserve">Diaspire — Powered by Anco2 Innovations (A2I)</w:t>
    </w:r>
    <w:r>
      <w:rPr>
        <w:sz w:val="16"/>
        <w:szCs w:val="16"/>
      </w:rPr>
      <w:t xml:space="preserve">	</w:t>
    </w:r>
    <w:r>
      <w:rPr>
        <w:rFonts w:ascii="Calibri" w:cs="Calibri" w:eastAsia="Calibri" w:hAnsi="Calibri"/>
        <w:color w:val="645C50"/>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152400"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2400" cy="152400"/>
                  </a:xfrm>
                  <a:prstGeom prst="rect">
                    <a:avLst/>
                  </a:prstGeom>
                </pic:spPr>
              </pic:pic>
            </a:graphicData>
          </a:graphic>
        </wp:inline>
      </w:drawing>
    </w:r>
    <w:r>
      <w:rPr>
        <w:rFonts w:ascii="Georgia" w:cs="Georgia" w:eastAsia="Georgia" w:hAnsi="Georgia"/>
        <w:b/>
        <w:bCs/>
        <w:color w:val="3D472B"/>
        <w:sz w:val="16"/>
        <w:szCs w:val="16"/>
      </w:rPr>
      <w:t xml:space="preserve">  Diaspire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pPr>
      <w:keepNext/>
      <w:keepLines/>
      <w:spacing w:after="200" w:before="400"/>
    </w:pPr>
    <w:rPr>
      <w:rFonts w:ascii="Georgia" w:cs="Georgia" w:eastAsia="Georgia" w:hAnsi="Georgia"/>
      <w:b/>
      <w:bCs/>
      <w:color w:val="201E1D"/>
      <w:sz w:val="28"/>
      <w:szCs w:val="28"/>
    </w:rPr>
  </w:style>
  <w:style w:type="paragraph" w:styleId="Heading2">
    <w:name w:val="Heading 2"/>
    <w:basedOn w:val="Normal"/>
    <w:pPr>
      <w:keepNext/>
      <w:keepLines/>
      <w:spacing w:after="150" w:before="300"/>
    </w:pPr>
    <w:rPr>
      <w:rFonts w:ascii="Georgia" w:cs="Georgia" w:eastAsia="Georgia" w:hAnsi="Georgia"/>
      <w:b/>
      <w:bCs/>
      <w:color w:val="201E1D"/>
      <w:sz w:val="24"/>
      <w:szCs w:val="24"/>
    </w:rPr>
  </w:style>
  <w:style w:type="paragraph" w:styleId="Heading3">
    <w:name w:val="Heading 3"/>
    <w:basedOn w:val="Normal"/>
    <w:pPr>
      <w:keepNext/>
      <w:spacing w:after="100" w:before="200"/>
    </w:pPr>
    <w:rPr>
      <w:rFonts w:ascii="Georgia" w:cs="Georgia" w:eastAsia="Georgia" w:hAnsi="Georgia"/>
      <w:b/>
      <w:bCs/>
      <w:color w:val="8C49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ckeyrg9ybeewvfw0krdoi" Type="http://schemas.openxmlformats.org/officeDocument/2006/relationships/hyperlink" Target="https://www.migration.gv.at/en/types-of-immigration/permanent-immigration/very-highly-qualified-workers/" TargetMode="External"/><Relationship Id="rId4qygmrf_hml6gd6xxxphd" Type="http://schemas.openxmlformats.org/officeDocument/2006/relationships/hyperlink" Target="https://www.migration.gv.at/en/service-and-links/points-calculator/" TargetMode="External"/><Relationship Id="rIdu8cvx2f1q1zy_k1p4mhmq" Type="http://schemas.openxmlformats.org/officeDocument/2006/relationships/hyperlink" Target="https://enterprise.gov.ie/en/what-we-do/workplace-and-skills/employment-permits/permit-types/critical-skills-employment-permit/" TargetMode="External"/><Relationship Id="rIdlcpfhdju9pree7wjs3q3s" Type="http://schemas.openxmlformats.org/officeDocument/2006/relationships/hyperlink" Target="https://enterprise.gov.ie/en/what-we-do/workplace-and-skills/employment-permits/employment-permit-eligibility/highly-skilled-eligible-occupations-list/" TargetMode="External"/><Relationship Id="rId8tcf5lm2tn4irb9rhwcvd" Type="http://schemas.openxmlformats.org/officeDocument/2006/relationships/hyperlink" Target="https://enterprise.gov.ie/en/what-we-do/workplace-and-skills/employment-permits/employment-permit-eligibility/ineligible-categories-of-employment/" TargetMode="External"/><Relationship Id="rIdqc3b004zlvycyz_xoderq" Type="http://schemas.openxmlformats.org/officeDocument/2006/relationships/hyperlink" Target="https://lmra.gov.bh/en/page/show/106" TargetMode="External"/><Relationship Id="rId-r2grb2d5t_-amol8egjy" Type="http://schemas.openxmlformats.org/officeDocument/2006/relationships/hyperlink" Target="https://lmra.gov.bh/en/page/show/133" TargetMode="External"/><Relationship Id="rId2f9a6klpvbumfisscjodj" Type="http://schemas.openxmlformats.org/officeDocument/2006/relationships/hyperlink" Target="https://www.lmra.gov.bh/en/page/show/120" TargetMode="External"/><Relationship Id="rIdcag2d4qyf0ttbmgkoyyh0" Type="http://schemas.openxmlformats.org/officeDocument/2006/relationships/hyperlink" Target="https://lmra.gov.bh/en/page/show/194" TargetMode="External"/><Relationship Id="rId3pdy18rlg8teqzejwa3sd" Type="http://schemas.openxmlformats.org/officeDocument/2006/relationships/hyperlink" Target="https://www.searchassociates.com/" TargetMode="External"/><Relationship Id="rIdoscowmjgf9socgnrvvxpw" Type="http://schemas.openxmlformats.org/officeDocument/2006/relationships/hyperlink" Target="https://www.tes.com/jobs/" TargetMode="External"/><Relationship Id="rIdjowsb4-v5mncr3dc-95rp" Type="http://schemas.openxmlformats.org/officeDocument/2006/relationships/hyperlink" Target="https://www.iss.edu/" TargetMode="External"/><Relationship Id="rIdtoraqofo3fobeynanyfzj" Type="http://schemas.openxmlformats.org/officeDocument/2006/relationships/hyperlink" Target="https://www.schrole.com/" TargetMode="External"/><Relationship Id="rIdtr4d3jx1akmx0b0t9rkmx" Type="http://schemas.openxmlformats.org/officeDocument/2006/relationships/hyperlink" Target="https://u.ae/en/information-and-services/education/school-education-k-12/qualifications-to-be-a-teacher" TargetMode="External"/><Relationship Id="rIdqnzs_np70u-7q0u_gmev0" Type="http://schemas.openxmlformats.org/officeDocument/2006/relationships/hyperlink" Target="https://u.ae/en/information-and-services/jobs/employment-in-the-private-sector/job-offers-and-work-permits-and-contracts/work-permits" TargetMode="External"/><Relationship Id="rIdghn6eynowwx8flta8b1ru" Type="http://schemas.openxmlformats.org/officeDocument/2006/relationships/hyperlink" Target="https://www.searchassociates.com/" TargetMode="External"/><Relationship Id="rIdmrg-ylw0euis03mdven_t" Type="http://schemas.openxmlformats.org/officeDocument/2006/relationships/hyperlink" Target="https://www.tes.com/jobs/" TargetMode="External"/><Relationship Id="rIdkh2ro5b3yh8bksw58idk9" Type="http://schemas.openxmlformats.org/officeDocument/2006/relationships/hyperlink" Target="https://www.iss.edu/" TargetMode="External"/><Relationship Id="rIdvnjd3hjkcx9w62oi1o_az" Type="http://schemas.openxmlformats.org/officeDocument/2006/relationships/hyperlink" Target="https://www.schrole.com/" TargetMode="External"/><Relationship Id="rId7j0m1o3b_gktmodlertnv" Type="http://schemas.openxmlformats.org/officeDocument/2006/relationships/hyperlink" Target="https://www.rop.gov.om/english/Visas.aspx" TargetMode="External"/><Relationship Id="rIdk_uzgu4corwepowtly1rj" Type="http://schemas.openxmlformats.org/officeDocument/2006/relationships/hyperlink" Target="https://www.searchassociates.com/" TargetMode="External"/><Relationship Id="rId2e-qjq_ljxphnxt22tsco" Type="http://schemas.openxmlformats.org/officeDocument/2006/relationships/hyperlink" Target="https://www.tes.com/jobs/" TargetMode="External"/><Relationship Id="rIde-yvgqbwslru7hkuwhqdj" Type="http://schemas.openxmlformats.org/officeDocument/2006/relationships/hyperlink" Target="https://www.iss.edu/" TargetMode="External"/><Relationship Id="rIdljyatolhvr5i_ktqytuzj" Type="http://schemas.openxmlformats.org/officeDocument/2006/relationships/hyperlink" Target="https://www.schrole.com/" TargetMode="External"/><Relationship Id="rIdfq2ijes-lwv_do5-nfsb9" Type="http://schemas.openxmlformats.org/officeDocument/2006/relationships/hyperlink" Target="https://www.rop.gov.om/english/Visas.aspx" TargetMode="External"/><Relationship Id="rId-azvigdkip7r9cm9k12zi" Type="http://schemas.openxmlformats.org/officeDocument/2006/relationships/hyperlink" Target="https://u.ae/en/information-and-services/jobs/employment-in-the-private-sector/job-offers-and-work-permits-and-contracts/work-permits" TargetMode="External"/><Relationship Id="rId64jgly-e39fjzk40ryca2" Type="http://schemas.openxmlformats.org/officeDocument/2006/relationships/hyperlink" Target="https://u.ae/en/information-and-services/visa-and-emirates-id/residence-visas/residence-visa-for-working-in-the-uae" TargetMode="External"/><Relationship Id="rId1ua-17ozb3zg8tyvrvmni" Type="http://schemas.openxmlformats.org/officeDocument/2006/relationships/hyperlink" Target="https://u.ae/en/information-and-services/jobs/employment-in-the-private-sector/skill-levels-of-jobs-in-the-uae" TargetMode="External"/><Relationship Id="rIdkc8kczjp9_ywmywdprnmd" Type="http://schemas.openxmlformats.org/officeDocument/2006/relationships/hyperlink" Target="https://u.ae/en/information-and-services/visa-and-emirates-id/residence-visas/golden-visa" TargetMode="External"/><Relationship Id="rIdwhdikp-hrvwofgeaqwgq5" Type="http://schemas.openxmlformats.org/officeDocument/2006/relationships/hyperlink" Target="https://icp.gov.ae/en/services/golden-residency/" TargetMode="External"/><Relationship Id="rId10" Type="http://schemas.openxmlformats.org/officeDocument/2006/relationships/image" Target="media/50b73ed493db80cd0f58388568fdf603ba2935f0.png"/><Relationship Id="rId4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85b549b9bf7f7ae582077895670f4660798dd6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2026-08-14T11:34:08.761Z</dcterms:created>
  <dcterms:modified xsi:type="dcterms:W3CDTF">2026-08-14T11:34:08.761Z</dcterms:modified>
</cp:coreProperties>
</file>

<file path=docProps/custom.xml><?xml version="1.0" encoding="utf-8"?>
<Properties xmlns="http://schemas.openxmlformats.org/officeDocument/2006/custom-properties" xmlns:vt="http://schemas.openxmlformats.org/officeDocument/2006/docPropsVTypes"/>
</file>